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200</w:t>
      </w:r>
    </w:p>
    <w:p>
      <w:r>
        <w:t>Bundesgericht (BGE), 2011-03-24, FR</w:t>
      </w:r>
    </w:p>
    <w:p>
      <w:r>
        <w:rPr>
          <w:b/>
        </w:rPr>
        <w:t xml:space="preserve">Quelle: </w:t>
      </w:r>
      <w:r>
        <w:t>https://mcp.opencaselaw.ch/entscheid/bge_BGE_137_I_200</w:t>
      </w:r>
    </w:p>
    <w:p>
      <w:r>
        <w:t>FR: ATF 137 I 200</w:t>
      </w:r>
    </w:p>
    <w:p>
      <w:r>
        <w:t>IT: DTF 137 I 200</w:t>
      </w:r>
    </w:p>
    <w:p>
      <w:pPr>
        <w:pStyle w:val="Heading2"/>
      </w:pPr>
      <w:r>
        <w:t>Regeste</w:t>
      </w:r>
    </w:p>
    <w:p>
      <w:r>
        <w:t>Regeste Verletzung der Abstimmungsfreiheit; Einheit der Materie; Absetzen einer kantonalen Volksabstimmung; Art. 34 Abs. 2 BV. Bedeutung der Abstimmungsfreiheit (E. 2.1). Grundsatz der Einheit der Materie; Anwendung auf einen Gegenvorschlag (E. 2.2). Abstimmung, welche ein Gesetz über die Besteuerung von Unternehmen und einen Gegenvorschlag zu einer Volksinitiative für Kindertagesstätten in der Weise miteinander verbindet, dass beide Vorlagen angenommen werden müssen, damit sie in Kraft treten können (E. 3.1). Das Abstimmungsverfahren erlaubt den Stimmberechtigten keine freie und unverfälschte Willensäusserung (E. 3.2). Mangels eines sachlichen inneren Zusammenhangs zwischen den der Abstimmung unterbreiteten Vorlagen wird der Grundsatz der Einheit der Materie missachtet (E. 4.1). Die Abstimmungsfreiheit wird verletzt, weil die Stimmberechtigten einer Vorlage zustimmen müssen, damit eine andere Vorlage mit einem gänzlich andern Gegenstand angenommen werden kann (E. 4.2). Auch die Koppelung zwischen einem Gegenvorschlag und einer Vorlage ohne sachlichen Zusammenhang mit der Initiative verletzt die Einheit der Materie (E. 4.3). Eine Aufteilung der Vorlagen ist nicht möglich; die Volksabstimmung ist abzusetzen (E. 5).</w:t>
      </w:r>
    </w:p>
    <w:p>
      <w:r>
        <w:t>Regeste Violation de la liberté de vote; unité de la matière; annulation d'un arrêté de convocation des électeurs pour une votation cantonale; art. 34 al. 2 Cst. Contenu de la liberté de vote (consid. 2.1). Principe de l'unité de la matière; application à un contre-projet (consid. 2.2). Scrutin liant une loi sur l'imposition des entreprises et un contre-projet à une initiative sur l'accueil des enfants, de telle sorte que ces lois doivent être acceptées toutes les deux pour entrer en vigueur (consid. 3.1). La manière dont le scrutin est présenté ne permet pas de garantir l'expression fidèle et sûre de la volonté des électeurs (consid. 3.2). L'unité de la matière n'est pas respectée, faute de rapport intrinsèque entre les objets soumis ensemble au vote (consid. 4.1). La liberté de vote est violée, certains électeurs étant contraints d'approuver une loi pour faire adopter une autre loi concernant un domaine complètement différent (consid. 4.2). Le lien instauré entre le contre-projet et une loi étrangère à l'initiative viole lui aussi l'unité de la matière (consid. 4.3). Une scission des objets de la votation n'étant pas possible, l'arrêté de convocation des électeurs doit être annulé (consid. 5).</w:t>
      </w:r>
    </w:p>
    <w:p>
      <w:r>
        <w:t>Regesto Violazione della libertà di voto; unità della materia; annullamento del decreto di convocazione degli elettori per una votazione cantonale; art. 34 cpv. 2 Cost. Contenuto della libertà di voto (consid. 2.1). Principio dell'unità della materia; applicazione a un controprogetto (consid. 2.2). Votazione che vincola una legge sull'imposizione delle imprese e un controprogetto a un'iniziativa sull'accoglienza di bambini, in modo tale che per entrare in vigore entrambe le leggi devono essere accettate (consid. 3.1). Il modo in cui la votazione è presentata non permette di garantire l'espressione fedele e libera della volontà degli elettori (consid. 3.2). L'unità della materia non è rispettata, mancando un rapporto intrinseco tra gli oggetti sottoposti congiuntamente al voto (consid. 4.1). La libertà di voto è violata, taluni elettori essendo obbligati ad approvare una legge per farne adottare un'altra concernente un ambito completamente diverso (consid. 4.2). Anche il legame instaurato tra il controprogetto e una legge estranea all'iniziativa viola l'unità della materia (consid. 4.3). Non essendo possibile una scissione degli oggetti della votazione, il decreto di convocazione degli elettori deve essere annullato (consid. 5).</w:t>
      </w:r>
    </w:p>
    <w:p>
      <w:pPr>
        <w:pStyle w:val="Heading2"/>
      </w:pPr>
      <w:r>
        <w:t>Erwägungen</w:t>
      </w:r>
    </w:p>
    <w:p>
      <w:r>
        <w:rPr>
          <w:b/>
        </w:rPr>
        <w:t>E. 2</w:t>
      </w:r>
    </w:p>
    <w:p>
      <w:r>
        <w:t>Les recourants se plaignent d'une violation de l' art. 34 al. 2 Cst. Ils soutiennent notamment que la manière dont les objets de la votation cantonale sont soumis aux citoyens restreint leur liberté de vote et qu'elle n'est pas conforme à la règle de l'unité de la matière.</w:t>
      </w:r>
    </w:p>
    <w:p>
      <w:r>
        <w:rPr>
          <w:b/>
        </w:rPr>
        <w:t>E. 2.1</w:t>
      </w:r>
    </w:p>
    <w:p>
      <w:r>
        <w:t>De manière générale, la liberté de vote garantie par l' art. 34 Cst. exige que les votations et élections soient organisées de telle manière que la volonté des électeurs puisse s'exercer librement, notamment sans pression ni influence extérieure ( ATF 135 I 292 consid. 2 p. 293 s.; ATF 129 I 185 consid. 5 p. 192; ATF 121 I 138 consid. 3 p. 141). Cela implique en particulier une formulation simple, claire et objective des questions soumises au vote; celles-ci ne doivent pas induire en erreur, ni être rédigées dans des termes propres à influer sur la décision du citoyen ( ATF 106 Ia 20 consid. 1 p. 22 s.). Chaque électeur doit pouvoir se former son opinion de la façon la plus libre possible, et exprimer son choix en conséquence ( ATF 131 I 126 consid. 5.1 p. 132 et les références).</w:t>
      </w:r>
    </w:p>
    <w:p>
      <w:r>
        <w:rPr>
          <w:b/>
        </w:rPr>
        <w:t>E. 2.2</w:t>
      </w:r>
    </w:p>
    <w:p>
      <w:r>
        <w:t>L'exigence d'unité de la matière découle de la liberté de vote et, en particulier, du droit à la libre formation de l'opinion des citoyens et à l'expression fidèle et sûre de leur volonté ( art. 34 al. 2 Cst. ). Elle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 ATF 130 I 185 consid. 3 p. 195; ATF 129 I 366 consid. 2.3 p. 371, ATF 129 I 381 consid. 2.1 p. 384; ATF 128 I 190 consid. 3.2 p. 197 et les arrêts cités). L'unité de la matière est une notion relative qui doit être appréciée en fonction des circonstances concrètes ( ATF 129 I 381 consid. 2.3 p. 385; ATF 123 I 63 consid. 4 p. 70 ss). Le principe de l'unité de la matière vaut également dans une certaine mesure lorsqu'un contre-projet est opposé à une initiative populaire. BGE 137 I 200 S. 204 Il faut en effet que les deux objets soient en rapport étroit et qu'ils concernent la même matière ( ATF 113 Ia 46 consid. 5b p. 55; ATF 100 Ia 53 consid. 6 p. 58 ss et les références; cf. arrêts 1C_22/2010 du 6 octobre 2010 consid. 2.3, in ZBl 112/2011 p. 266; 1C_103/2010 du 26 août 2010 consid. 3.4; HANGARTNER/KLEY, Die demokratischen Rechte in Bund und Kantonen der Schweizerischen Eidgenossenschaft, 2000, p. 984 s.; CRISPIN HUGENSCHMIDT, Einheit der Materie - überholtes Kriterium zum Schutze des Stimmrechts?, 2001, p. 134 ss et les références).</w:t>
      </w:r>
    </w:p>
    <w:p>
      <w:r>
        <w:rPr>
          <w:b/>
        </w:rPr>
        <w:t>E. 3</w:t>
      </w:r>
    </w:p>
    <w:p>
      <w:r>
        <w:t>En l'occurrence, le Conseil d'Etat neuchâtelois a convoqué les électeurs pour qu'ils se prononcent sur deux objets en apparence distincts, le premier étant une modification de la loi cantonale sur les contributions directes (LCdir) et le second l'initiative populaire "Pour un nombre approprié de structures d'accueil de qualité" et son contre-projet sous la forme d'une loi sur l'accueil des enfants (LAE).</w:t>
      </w:r>
    </w:p>
    <w:p>
      <w:r>
        <w:rPr>
          <w:b/>
        </w:rPr>
        <w:t>E. 3.1</w:t>
      </w:r>
    </w:p>
    <w:p>
      <w:r>
        <w:t>Cette présentation du scrutin en deux parties séparées ressort à la fois de l'arrêté de convocation du 2 février 2011 et de la brochure explicative distribuée aux électeurs, qui classe les questions posées en "objet 1" et "objet 2". Il s'avère cependant que cette distinction est artificielle, dès lors que la loi portant modification de la LCdir ("objet 1") et la LAE (partie de l'"objet 2") sont liées par des clauses prévoyant qu'elles ne peuvent être acceptées qu'ensemble. L'art. 3 al. 5 et 6 de la loi portant modification de la LCdir prévoit en effet que la promulgation et l'entrée en vigueur de la loi sont subordonnées à l'acceptation de la LAE, faute de quoi la loi serait caduque de plein droit. De même, à teneur de l'art. 51 al. 1 et 3 LAE, les deux lois doivent entrer en vigueur simultanément, un refus par le peuple de la loi portant modification de la LCdir entraînant la caducité de la LAE. La brochure explicative insiste sur cet aspect, en titrant: "Deux objets étroitement liés: l'un n'ira pas sans l'autre" et en exposant que "si l'une des lois ici proposées est refusée par le peuple, l'autre ne pourra pas non plus être mise en vigueur, même si elle a été acceptée".</w:t>
      </w:r>
    </w:p>
    <w:p>
      <w:r>
        <w:rPr>
          <w:b/>
        </w:rPr>
        <w:t>E. 3.2</w:t>
      </w:r>
    </w:p>
    <w:p>
      <w:r>
        <w:t>Le lien établi entre l'"objet 1" et une partie de l'"objet 2" complique l'expression de la volonté des électeurs, qui doivent encore répondre à une question subsidiaire les appelant à choisir entre l'initiative et le contre-projet au cas où ces deux objets seraient acceptés. Si la majorité optait pour l'initiative, cela entraînerait la caducité non seulement du contre-projet, mais également de la loi portant modification de la LCdir. De même, si la majorité optait pour le contre-projet et que la loi portant modification de la LCdir était refusée, BGE 137 I 200 S. 205 l'initiative et le contre-projet se verraient tous deux rejetés, quand bien même la majorité se serait exprimée en leur faveur. Dans ces deux hypothèses, deux objets approuvés par la majorité des citoyens seraient rejetés par le jeu des liens entre les lois soumises au vote. Le citoyen ne peut donc pas exprimer son vote librement dans toutes les hypothèses et il devient difficile pour lui de prévoir à quel résultat conduira un "oui" glissé dans l'urne ou l'effet de son choix subsidiaire entre l'initiative et le contre-projet. A cela s'ajoute le fait que les explications données aux électeurs sont de nature à créer une certaine confusion en ce qui concerne l'initiative populaire. En effet, à la lecture de la brochure explicative, le citoyen pourrait croire à tort qu'il faut accepter la modification de la LCdir pour faire passer l'initiative, en raison notamment du titre selon lequel l'"objet 1" et l'"objet 2" sont étroitement liés et ne peuvent "aller l'un sans l'autre". Or, cette affirmation n'est que partiellement vraie, puisque l'approbation de l'initiative - qui est une partie de l'"objet 2" - est indépendante de l'"objet 1". En définitive, il ressort manifestement des cas de figure envisagés ci-dessus que l'expression fidèle et sûre de la volonté des électeurs n'est pas garantie.</w:t>
      </w:r>
    </w:p>
    <w:p>
      <w:r>
        <w:rPr>
          <w:b/>
        </w:rPr>
        <w:t>E. 4</w:t>
      </w:r>
    </w:p>
    <w:p>
      <w:r>
        <w:t>La manière dont le scrutin est présenté est aussi problématique au regard de la liberté de vote, en tant qu'elle contraint certains électeurs à approuver une loi dont ils ne voudraient pas, afin de faire adopter l'autre loi. Ainsi, le citoyen favorable à la modification de l'imposition des entreprises devrait approuver la loi sur l'accueil des enfants même s'il ne le souhaite pas, et vice versa. Certes, il n'est pas rare que l'électeur doive faire des compromis et qu'il ne soit pas nécessairement d'accord avec tous les aspects d'une loi qui lui est soumise. Il doit néanmoins être en mesure de faire une appréciation globale de l'objet de la votation, pour décider s'il est d'accord avec les buts poursuivis et les moyens mis en oeuvre pour les atteindre. Une telle appréciation n'est pas possible si les divers aspects de l'objet en question sont trop disparates et qu'ils visent des objectifs trop différents. C'est précisément pour cette raison que la jurisprudence a développé l'exigence de l'unité de la matière. Or, dans la mesure où les lois litigieuses ont été liées de manière à former un tout, que les citoyens doivent accepter ou refuser en bloc, elles doivent respecter cette exigence.</w:t>
      </w:r>
    </w:p>
    <w:p>
      <w:r>
        <w:rPr>
          <w:b/>
        </w:rPr>
        <w:t>E. 4.1</w:t>
      </w:r>
    </w:p>
    <w:p>
      <w:r>
        <w:t>La loi portant modification de la LCdir et la LAE sont présentées aux électeurs comme le fruit d'un nouveau "contrat social", visant à améliorer les conditions-cadres offertes par le canton à son BGE 137 I 200 S. 206 économie. On ne discerne toutefois pas de points de convergence entre ces deux lois, adoptées séparément le 1 er septembre 2010 et le 28 septembre 2010. La loi portant modification de la LCdir relève uniquement du droit fiscal, à savoir de l'imposition des personnes morales. Elle ne partage manifestement pas les buts de la LAE et elle ne mentionne cette loi que dans la clause formelle prévoyant que toutes deux doivent être acceptées ensemble. Quant à la LAE, elle a été conçue comme un contre-projet à l'initiative "Pour un nombre approprié de structures d'accueil de qualité" et elle tend essentiellement à encourager le développement de l'accueil extrafamilial et à garantir la qualité et l'universalité de celui-ci (art. 1 LAE). Elle ne se réfère à la loi portant modification de la LCdir que dans la clause liant le sort de ces deux lois pour la votation populaire litigieuse. Ainsi, les deux lois soumises ensemble au vote ne sont jointes que par des clauses de nature formelle et elles ne partagent rien d'un point de vue matériel. Cela vaut en particulier pour le financement des mesures d'accueil des enfants: la loi portant modification de la LCdir ne prévoit pas l'affectation d'une partie de l'impôt à cet effet, et la LAE règle le financement par d'autres biais. La LAE prévoit certes une participation des employeurs (art. 14 ss LAE), mais à côté d'autres sources de financement sans rapport direct avec la fiscalité des entreprises, à savoir une participation de l'Etat, des communes et des représentants légaux. En conclusion, aucun rapport intrinsèque entre les deux lois en cause ne peut être dégagé de leur texte, si ce n'est par les dispositions prévoyant qu'elles doivent être adoptées toutes les deux.</w:t>
      </w:r>
    </w:p>
    <w:p>
      <w:r>
        <w:rPr>
          <w:b/>
        </w:rPr>
        <w:t>E. 4.2</w:t>
      </w:r>
    </w:p>
    <w:p>
      <w:r>
        <w:t>Les autorités cantonales expliquent que la décision de joindre l'adoption de ces deux lois est le résultat d'une négociation préalable qui a été menée entre partenaires politiques et sociaux. Certes, de telles négociations sont concevables et elles peuvent conduire une force politique à accepter une loi qui ne la convainc pas entièrement, afin d'être soutenue dans un autre dossier. Il ne faut toutefois pas perdre de vue que l'électeur est dans une position différente: il n'est pas en mesure de négocier pour obtenir un avantage en échange d'un compromis, mais il ne peut qu'accepter ou refuser l'objet qui lui est soumis. Or, si l'acceptation d'une partie de cet objet implique des concessions dans un domaine complètement différent, l'électeur ne peut plus exprimer sa volonté librement. Le seul rapport entre la LAE et la loi portant modification de la LCdir semble résider dans la volonté d'améliorer les BGE 137 I 200 S. 207 conditions-cadres de l'économie cantonale, par une fiscalité plus avantageuse pour les entreprises et par une amélioration de l'accueil des enfants. Ce n'est manifestement pas suffisant pour fonder un rapport de connexité étroit entre les lois en question: l'amélioration de l'attractivité du canton est un objectif qui peut être visé par de nombreuses autres lois, touchant les domaines les plus variés. En définitive, la relation entre la LAE et la loi portant modification de la LCdir est trop vague pour que l'on puisse admettre qu'elles font partie d'un même projet. Ces lois ne sont pas de même nature et elles ne poursuivent pas le même but, de sorte que leur réunion pour la votation populaire prévue n'apparaît pas objectivement justifiée.</w:t>
      </w:r>
    </w:p>
    <w:p>
      <w:r>
        <w:rPr>
          <w:b/>
        </w:rPr>
        <w:t>E. 4.3</w:t>
      </w:r>
    </w:p>
    <w:p>
      <w:r>
        <w:t>Enfin, le procédé consistant à lier les deux lois en cause est également problématique du point de vue de l'initiative et du contre-projet qui lui est opposé. En effet, l'électeur qui veut opter pour le contre-projet à l'initiative doit également approuver la loi portant modification de la LCdir, ce qui a pour conséquence d'étendre le contre-projet à cette autre loi. Or, le principe de l'unité de la matière doit également être pris en considération à cet égard; il faut en tout cas que l'initiative et son contre-projet soient en rapport étroit et qu'ils concernent la même matière (cf. supra consid. 2.2 in fine). Il est dès lors contraire à ce principe de lier au contre-projet proprement dit un objet de nature différente, de telle manière que l'électeur se trouve forcé d'accepter les deux propositions alors qu'il pourrait n'être d'accord qu'avec une seule (cf. arrêt 1C_103/2010 du 26 août 2010 consid. 3.4).</w:t>
      </w:r>
    </w:p>
    <w:p>
      <w:r>
        <w:rPr>
          <w:b/>
        </w:rPr>
        <w:t>E. 5</w:t>
      </w:r>
    </w:p>
    <w:p>
      <w:r>
        <w:t>En conclusion, la manière dont les objets de la votation cantonale du 3 avril 2011 sont présentés ne permet pas une expression fidèle et sûre de la volonté des électeurs et elle porte atteinte à la liberté de vote. Une éventuelle scission des objets litigieux n'est pas possible en l'espèce, dans la mesure où le lien entre les différents objets est inscrit dans les lois elles-mêmes. Il serait au demeurant contraire à la volonté du législateur de soumettre ces lois au vote séparément, sans lui donner l'occasion de revenir le cas échéant sur les compromis qui l'avaient conduit à lier ces lois. Quant à l'initiative, elle ne saurait être soumise au vote seule dès lors que le Grand Conseil a décidé de lui opposer un contre-projet, conformément à l'art. 110 al. 2 let. b de la loi cantonale sur les droits politiques (LDP/NE; RSN 141). Le seul moyen permettant d'assurer le respect des droits politiques garantis par l' art. 34 Cst. est donc l'annulation de l'arrêté de convocation des électeurs.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