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84</w:t>
      </w:r>
    </w:p>
    <w:p>
      <w:r>
        <w:t>Bundesgericht (BGE), 2011-04-06, DE</w:t>
      </w:r>
    </w:p>
    <w:p>
      <w:r>
        <w:rPr>
          <w:b/>
        </w:rPr>
        <w:t xml:space="preserve">Quelle: </w:t>
      </w:r>
      <w:r>
        <w:t>https://mcp.opencaselaw.ch/entscheid/bge_BGE_137_IV_84</w:t>
      </w:r>
    </w:p>
    <w:p>
      <w:r>
        <w:t>FR: ATF 137 IV 84</w:t>
      </w:r>
    </w:p>
    <w:p>
      <w:r>
        <w:t>IT: DTF 137 IV 84</w:t>
      </w:r>
    </w:p>
    <w:p>
      <w:pPr>
        <w:pStyle w:val="Heading2"/>
      </w:pPr>
      <w:r>
        <w:t>Regeste</w:t>
      </w:r>
    </w:p>
    <w:p>
      <w:r>
        <w:t>Regeste Haftgrund der Wiederholungsgefahr; Art. 221 Abs. 1 lit. c StPO. Art. 221 Abs. 1 lit. c StPO in der deutschen und der italienischen Fassung ist dahingehend auszulegen, dass "Verbrechen oder schwere Vergehen" drohen müssen (E. 3.2).</w:t>
      </w:r>
    </w:p>
    <w:p>
      <w:r>
        <w:t>Regeste Détention fondée sur le risque de récidive; art. 221 al. 1 let. c CPP. L'art. 221 al. 1 let. c CPP, dans sa version allemande et italienne, doit être interprété en ce sens que "des crimes ou des délits graves" doivent être à craindre (consid. 3.2).</w:t>
      </w:r>
    </w:p>
    <w:p>
      <w:r>
        <w:t>Regesto Motivo di detenzione fondato sul rischio di recidiva; art. 221 cpv. 1 lett. c CPP. L'art. 221 cpv. 1 lett. c CPP dev'essere interpretato, nella versione tedesca e italiana, nel senso che devono essere temuti "crimini o gravi delitti" (consid. 3.2).</w:t>
      </w:r>
    </w:p>
    <w:p>
      <w:pPr>
        <w:pStyle w:val="Heading2"/>
      </w:pPr>
      <w:r>
        <w:t>Erwägungen</w:t>
      </w:r>
    </w:p>
    <w:p>
      <w:r>
        <w:rPr>
          <w:b/>
        </w:rPr>
        <w:t>E. 3.2</w:t>
      </w:r>
    </w:p>
    <w:p>
      <w:r>
        <w:t>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 Der Haftgrund der Wiederholungsgefahr ist restriktiv zu handhaben ( BGE 135 I 71 E. 2.3, 2.6 und 2.11 S. 73 ff.). 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BGE 137 IV 84 S. 86 "schwere Verbrechen oder Vergehen". Verbrechen sind Taten, die mit Freiheitsstrafe von mehr als drei Jahren bedroht sind ( Art. 10 Abs. 2 StGB ); Vergehen sind Taten, die mit Freiheitsstrafe bis zu drei Jahren oder mit Geldstrafe bedroht sind ( Art. 10 Abs. 3 StGB ). Die deutschsprachige sowie die italienische Fassung von Art. 221 Abs. 1 lit. c StPO sind als missglückt einzustufen, denn "minder schwere" Verbrechen werden vom Wortlaut nicht erfasst, obwohl sie mit höheren Strafen bedroht sind als Vergehen. Sachgerecht erscheint, jegliche Verbrechen zu erfassen. Gestützt auf den französischsprachigen Gesetzestext - "des crimes ou des délits graves" - ist die Bestimmung deshalb durch Umplatzierung des Adjektivs "schwere" dahingehend auszulegen, dass "Verbrechen oder schwere Vergehen" drohen müssen (vgl. zum Ganzen MARC FORSTER, in: Basler Kommentar, Schweizerische Strafprozessordnung, 2011, N. 11 ff. zu Art. 221 StPO ).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 a.a.O., N. 14 zu Art. 221 StPO ). Das Gesetz verlangt als weitere Voraussetzung der Präventivhaft wegen Wiederholungsgefahr, dass die beschuldigte Person bereits früher gleichartige Vortaten verübt hat (vgl. insoweit BGE 137 IV 13 ). Auch bei den Vortaten muss es sich um Verbrechen oder schwere Vergehen gegen gleiche oder gleichartige Rechtsgüter gehandelt haben. Die früher begangenen Straftaten können sich aus rechtskräftig abgeschlossenen früheren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(FORSTER, a.a.O., N. 15 zu Art. 221 StPO ; NIKLAUS SCHMID, Schweizerische Strafprozessordnung, Praxiskommentar, 2009, N. 12 zu Art. 221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