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339</w:t>
      </w:r>
    </w:p>
    <w:p>
      <w:r>
        <w:t>Bundesgericht (BGE), 2011-06-09, DE</w:t>
      </w:r>
    </w:p>
    <w:p>
      <w:r>
        <w:rPr>
          <w:b/>
        </w:rPr>
        <w:t xml:space="preserve">Quelle: </w:t>
      </w:r>
      <w:r>
        <w:t>https://mcp.opencaselaw.ch/entscheid/bge_BGE_137_IV_339</w:t>
      </w:r>
    </w:p>
    <w:p>
      <w:r>
        <w:t>FR: ATF 137 IV 339</w:t>
      </w:r>
    </w:p>
    <w:p>
      <w:r>
        <w:t>IT: DTF 137 IV 339</w:t>
      </w:r>
    </w:p>
    <w:p>
      <w:pPr>
        <w:pStyle w:val="Heading2"/>
      </w:pPr>
      <w:r>
        <w:t>Regeste</w:t>
      </w:r>
    </w:p>
    <w:p>
      <w:r>
        <w:t>Regeste Art. 221 Abs. 2 StPO; Haftgrund der Ausführungsgefahr. Die Drohung, ein schweres Verbrechen auszuführen, kann auch konkludent erfolgen (E. 2.4).</w:t>
      </w:r>
    </w:p>
    <w:p>
      <w:r>
        <w:t>Regeste Art. 221 al. 2 CPP; motif de détention fondé sur un risque de passage à l'acte. La menace de commettre un crime grave peut aussi résulter d'actes concluants (consid. 2.4).</w:t>
      </w:r>
    </w:p>
    <w:p>
      <w:r>
        <w:t>Regesto Art. 221 cpv. 2 CPP; motivo di carcerazione fondato sul rischio di commissione di un reato. La minaccia di commettere un grave crimine può risultare anche da atti concludenti (consid. 2.4).</w:t>
      </w:r>
    </w:p>
    <w:p>
      <w:pPr>
        <w:pStyle w:val="Heading2"/>
      </w:pPr>
      <w:r>
        <w:t>Erwägungen</w:t>
      </w:r>
    </w:p>
    <w:p>
      <w:r>
        <w:rPr>
          <w:b/>
        </w:rPr>
        <w:t>E. 2.4</w:t>
      </w:r>
    </w:p>
    <w:p>
      <w:r>
        <w:t>Der Beschwerdeführer macht in der Replik erstmals geltend, es fehle an einer Drohung, weshalb Art. 221 Abs. 2 StPO nicht BGE 137 IV 339 S. 340 anwendbar sei. Es kann offenbleiben, ob darauf eingetreten werden kann, da der Beschwerdeführer den Einwand bereits in der Beschwerde hätte vorbringen können ( BGE 132 I 42 E. 3.3.4 S. 47 mit Hinweisen). Dieser ist jedenfalls unbegründet. Art. 221 Abs. 2 StPO setzt die Drohung voraus, ein schweres Verbrechen auszuführen. Es trifft zu, dass eine ausdrückliche Drohung des Beschwerdeführers, er werde seine Frau töten, nicht aktenkundig ist. Die Drohung kann jedoch auch konkludent erfolgen (MARC FORSTER, in: Basler Kommentar, Schweizerische Strafprozessordnung, 2011, N. 18 zu Art. 221 StPO ). So verhält es sich hier. Der Beschwerdeführer steht unter dem dringenden Verdacht, am 23. Dezember 2010 in der Waschküche seiner Ehefrau die Pulsader des linken Handgelenks aufgeschnitten und sie dort zurückgelassen zu haben in der Annahme, sie werde verbluten. Darin ist eine konkludente Drohung zu erblicken, der Beschwerdeführer werde die bisher nur bis zum Versuchsstadium gelangte vorsätzliche Tötung noch verwirklichen (vgl. FORSTER, a.a.O., Fn. 75; NIKLAUS SCHMID, Schweizerische Strafprozessordnung, Praxiskommentar, 2009, N. 14 zu Art. 221 StPO ). Aufgrund des Vorfalls vom 23. Dezember 2010 ist die Bedrohung sogar konkreter, als wenn der Beschwerdeführer lediglich verbal gedroht hätte. Liegt demnach eine konkludente Drohung vor, sind die Voraussetzungen der Haft nach Art. 221 Abs. 2 StPO auch insoweit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