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258</w:t>
      </w:r>
    </w:p>
    <w:p>
      <w:r>
        <w:t>Bundesgericht (BGE), 2011-07-11, DE</w:t>
      </w:r>
    </w:p>
    <w:p>
      <w:r>
        <w:rPr>
          <w:b/>
        </w:rPr>
        <w:t xml:space="preserve">Quelle: </w:t>
      </w:r>
      <w:r>
        <w:t>https://mcp.opencaselaw.ch/entscheid/bge_BGE_137_IV_258</w:t>
      </w:r>
    </w:p>
    <w:p>
      <w:r>
        <w:t>FR: ATF 137 IV 258</w:t>
      </w:r>
    </w:p>
    <w:p>
      <w:r>
        <w:t>IT: DTF 137 IV 258</w:t>
      </w:r>
    </w:p>
    <w:p>
      <w:pPr>
        <w:pStyle w:val="Heading2"/>
      </w:pPr>
      <w:r>
        <w:t>Regeste</w:t>
      </w:r>
    </w:p>
    <w:p>
      <w:r>
        <w:t>Regeste Art. 66 StGB; Friedensbürgschaft. Das Tatbestandsmerkmal der Drohung in Art. 66 StGB setzt keine strafrechtlich relevante Drohung im Sinne von Art. 180 StGB voraus. Die Drohung muss zudem weder ausdrücklich noch gegenüber dem Bedrohten geäussert werden. Genügend ist - unabhängig vom konkreten Verwirklichungswillen - jede Drohung mit einem Verbrechen oder Vergehen, wenn eine ernste, naheliegende Besorgnis des Bedrohten besteht, dass sie der Drohende verwirklichen wird. Dem Richter kommt für die Beurteilung der Verwirklichungschancen der Drohung ein grosser Ermessensspielraum zu (E. 2).</w:t>
      </w:r>
    </w:p>
    <w:p>
      <w:r>
        <w:t>Regeste Art. 66 CP; cautionnement préventif. L'élément constitutif de la menace posée par l'art. 66 CP n'implique pas une menace pénale au sens de l'art. 180 CP. Il ne suppose ainsi pas que la menace soit expresse ni qu'elle soit adressée à celui qui en est l'objet. Est suffisante - indépendamment d'une volonté concrète de mise à exécution - toute menace de perpétrer un crime ou un délit, lorsqu'il existe une crainte sérieuse et facile à concevoir de la personne menacée, que l'intéressé mettra sa menace à exécution. Le juge dispose d'un large pouvoir d'appréciation pour déterminer les chances que la menace se traduise en actes (consid. 2).</w:t>
      </w:r>
    </w:p>
    <w:p>
      <w:r>
        <w:t>Regesto Art. 66 CP; cauzione preventiva. L'elemento della minaccia dell'art. 66 CP non presuppone una minaccia penalmente rilevante ai sensi dell'art. 180 CP. La minaccia non ha inoltre bisogno di essere proferita esplicitamente né di essere rivolta alla persona presa di mira. È sufficiente qualsiasi minaccia di commettere un crimine o un delitto - a prescindere dalla concreta volontà di tradurla in realtà - purché vi sia un serio ed evidente timore della persona minacciata che l'interessato la metta in atto. Nella valutazione delle probabilità di attuazione della minaccia il giudice dispone di un vasto potere di apprezzamento (consid. 2).</w:t>
      </w:r>
    </w:p>
    <w:p>
      <w:pPr>
        <w:pStyle w:val="Heading2"/>
      </w:pPr>
      <w:r>
        <w:t>Erwägungen</w:t>
      </w:r>
    </w:p>
    <w:p>
      <w:r>
        <w:rPr>
          <w:b/>
        </w:rPr>
        <w:t>E. 2.1.1</w:t>
      </w:r>
    </w:p>
    <w:p>
      <w:r>
        <w:t>Der Beschwerdeführer macht in rechtlicher Hinsicht geltend, die Vorinstanz verletze Art. 66 StGB . Die vorausgesetzte konkrete Gefahr, die angebliche Drohung künftig zu verwirklichen, bestehe nicht, zumal die Vorinstanz den langen Zeitablauf seit der vor über BGE 137 IV 258 S. 260 eineinhalb Jahren beendeten Beziehung und der angeblichen Drohung vom 30. Januar 2010 ausser Acht lasse.</w:t>
      </w:r>
    </w:p>
    <w:p>
      <w:r>
        <w:rPr>
          <w:b/>
        </w:rPr>
        <w:t>E. 2.1.2</w:t>
      </w:r>
    </w:p>
    <w:p>
      <w:r>
        <w:t>Der Beschwerdeführer rügt eine Verletzung des Verhältnismässigkeitsgebots (Art. 5 Abs. 2 i.V.m. Art. 36 Abs. 3 BV ). Bei der Friedensbürgschaft, welche die Grundrechte stark einschränke, sei dieses Gebot zwingend zu beachten. Die Vorinstanz verkenne die Natur der Friedensbürgschaft als Präventiv- und Zwangsmassnahme. Es fehle vorliegend jegliches Präventionsinteresse, nachdem die Beschwerdegegnerin erst Monate nach der angeblichen Drohung das Begehren um Anordnung einer Friedensbürgschaft gestellt habe. Das Verfahren habe sie in der Folge laufend verzögert, so dass mehr als ein Jahr bis zum angefochtenen Entscheid vergangen sei. Seit dem Bruch der Beziehung im Spätsommer 2009 hätten sich zudem keinerlei Vorfälle aggressiven Inhalts oder tätliche Auseinandersetzungen zwischen ihnen mehr ereignet. Allein aufgrund des Zeitablaufs könne jegliche Gefährdung der Beschwerdegegnerin ausgeschlossen werden, weshalb die Anordnung einer Friedensbürgschaft nicht verhältnismässig sei.</w:t>
      </w:r>
    </w:p>
    <w:p>
      <w:r>
        <w:rPr>
          <w:b/>
        </w:rPr>
        <w:t>E. 2.2</w:t>
      </w:r>
    </w:p>
    <w:p>
      <w:r>
        <w:t>Die Vorinstanz erwägt, die geringe Frustrationstoleranz in künftigen ähnlichen Situationen lasse auf erneute Handgreiflichkeiten des Beschwerdeführers schliessen. Die Beteuerungen, er habe nach dem Tod seines Vaters im Sommer 2010 ein verantwortungsvolles Erbe angetreten und nun anderes im Sinn, sei mit "gesunder Vorsicht" zu würdigen. Es fehle am Tatbeweis, dass er sein Verhaltensmuster geändert habe und sein angekündigter Wandel gefestigt sei. Sein Umgang mit dem Zeugen C. im Juni 2010 lasse nicht auf eine gefestigte Verhaltensänderung vertrauen. Zudem laufe aufgrund eines Strafantrags der Beschwerdegegnerin ein Strafverfahren gegen ihn beim Bezirksgericht Zürich. Die Drohung gegen die Beschwerdegegnerin habe er lange nach Beendigung der Beziehung ausgestossen, weil sie ihre Aussagen bzw. den Strafantrag in dieser Sache nicht zurückgezogen habe. Er habe an diesem Rückzug nach wie vor ein Interesse. Nicht die gescheiterte Beziehung oder unverarbeitete Beziehungskonflikte bildeten Ursache der Drohung, sondern das erwähnte hängige Strafverfahren. Das Präventionsinteresse sei daher nach wie vor gegeben. Die Verhältnismässigkeit der angeordneten Friedensbürgschaft zur Schwere des angeordneten Nachteils und zum Grad der Verwirklichungsgefahr sei gewahrt, und zwar unbeeinflusst von subjektivem Angstempfinden, übertriebener Panikmacherei und Dramatisierung durch die Beschwerdegegnerin. BGE 137 IV 258 S. 261</w:t>
      </w:r>
    </w:p>
    <w:p>
      <w:r>
        <w:rPr>
          <w:b/>
        </w:rPr>
        <w:t>E. 2.3</w:t>
      </w:r>
    </w:p>
    <w:p>
      <w:r>
        <w:t>Besteht die Gefahr, dass jemand ein Verbrechen oder Vergehen ausführen wird, mit dem er gedroht hat, oder legt jemand, der wegen eines Verbrechens oder eines Vergehens verurteilt wird, die bestimmte Absicht an den Tag, die Tat zu wiederholen, so kann ihm das Gericht auf Antrag des Bedrohten das Versprechen abnehmen, die Tat nicht auszuführen, und ihn anhalten, angemessene Sicherheit dafür zu leisten ( Art. 66 Abs. 1 StGB ). Der Richter wird hierbei nicht von Amtes wegen tätig, sondern auf Antrag der bedrohten Person. Auch bei einem entsprechenden Antrag steht es im richterlichen Ermessen, eine Friedensbürgschaft auszusprechen. Vorliegend bildet die erste Tatbestandsvariante der Friedensbürgschaft Gegenstand des Verfahrens: Drohung mit einem Verbrechen oder Vergehen, verbunden mit der Gefahr ihrer Ausführung.</w:t>
      </w:r>
    </w:p>
    <w:p>
      <w:r>
        <w:rPr>
          <w:b/>
        </w:rPr>
        <w:t>E. 2.4</w:t>
      </w:r>
    </w:p>
    <w:p>
      <w:r>
        <w:t>Der von der Friedensbürgschaft bezweckte Schutz ist auf Verhältnisse zugeschnitten, in denen der potentielle Täter und sein Opfer - wie hier der Beschwerdeführer und die Beschwerdegegnerin - durch die Zugehörigkeit zur gleichen überschaubaren sozialen Gruppe miteinander verbunden sind (Urteil 6B_10/2008 vom 15. April 2008 E. 1.4 mit Hinweisen).</w:t>
      </w:r>
    </w:p>
    <w:p>
      <w:r>
        <w:rPr>
          <w:b/>
        </w:rPr>
        <w:t>E. 2.5</w:t>
      </w:r>
    </w:p>
    <w:p>
      <w:r>
        <w:t>Das Tatbestandsmerkmal der Drohung setzt keine strafrechtlich relevante Drohung im Sinne von Art. 180 StGB voraus. Genügend ist jede Drohung mit einem Verbrechen oder Vergehen, wenn die Gefahr besteht, dass der Drohende sie verwirklichen werde. Art. 66 StGB setzt auch nicht voraus, dass die Drohung ausdrücklich und gegenüber dem Bedrohten geäussert wurde ( BGE 71 IV 72 E. 2). Das Bundesgericht hat in diesem einzigen amtlich publizierten Entscheid offengelassen, ob der Drohende tatsächlich die Absicht haben muss, die Tat auszuführen. Im Schrifttum besteht die Auffassung, dass die Drohung unabhängig des konkreten Verwirklichungswillens zumindest als ernstgemeint erscheinen soll (RENÉ KISSLING, in: Basler Kommentar, Strafprozessordnung [nachfolgend: BSK-StPO],2011, N. 2 zu Art. 372 StPO ; ders. , Friedensbürgschaft und Zwangsmassnahmen[nachfolgend: Friedensbürgschaft], SJZ 103/2007S. 199 f.; AUDE BICHOVSKY, in: Commentaire romand, Code pénal, Bd. I, 2009, N. 17 zu Art. 66 StGB ; ERICH ZÜBLIN, in: Basler Kommentar, Strafrecht, 2. Aufl. 2007, N. 8 zu Art. 66 StGB ; so auch schon JAKOB GRÜNBAUM, Die Friedensbürgschaft im schweizerischen Strafgesetz, 1941, S. 29 f.; anders PHILIPPE GRAVEN, Le cautionnement préventif, 1963, S. 47, wonach die Absicht ["l'intention"] des Täters vorliegen muss, die Drohung wahr zu machen). BGE 137 IV 258 S. 262</w:t>
      </w:r>
    </w:p>
    <w:p>
      <w:r>
        <w:rPr>
          <w:b/>
        </w:rPr>
        <w:t>E. 2.6</w:t>
      </w:r>
    </w:p>
    <w:p>
      <w:r>
        <w:t>Es erscheint sachgerecht, unabhängig vom konkreten Verwirklichungswillen auf die Wirkung der Drohung gegenüber dem Drohungsempfänger abzustellen, analog dem Tatbestand der Drohung nach Art. 180 StGB . Tathandlung bildet dort, den Empfänger der Drohung in Schrecken oder Angst zu versetzen. Der Täter muss nicht die Absicht haben, die Drohung tatsächlich in die Tat umzusetzen (Urteil 6S.621/2000 vom 26. Oktober 2000 E. 2a; in diesem Sinne nun auch KISSLING, BSK-StPO, a.a.O., N. 2 f. mit Hinweis). Höhere Anforderungen an die Verwirklichungsabsicht der Drohung im Rahmen der Friedensbürgschaft sind nicht angezeigt.</w:t>
      </w:r>
    </w:p>
    <w:p>
      <w:r>
        <w:rPr>
          <w:b/>
        </w:rPr>
        <w:t>E. 2.7</w:t>
      </w:r>
    </w:p>
    <w:p>
      <w:r>
        <w:t>Der Bedrohte muss eine ernste, naheliegende Besorgnis haben, dass die angedrohte Straftat verwirklicht wird, was der französische Gesetzestext zum Ausdruck bringt ("s'il y a lieu de craindre"). Dem zuständigen Richter kommt für die Beurteilung der Verwirklichungschancen der Drohung ein grosser Ermessensspielraum zu, wobei er die gesamten Umstände im konkreten Fall zu berücksichtigen hat (Urteil 1P.86/1999 vom 5. Juli 1999 E. 2c mit Hinweis, in: SJ 2000 I 209).</w:t>
      </w:r>
    </w:p>
    <w:p>
      <w:r>
        <w:rPr>
          <w:b/>
        </w:rPr>
        <w:t>E. 2.8</w:t>
      </w:r>
    </w:p>
    <w:p>
      <w:r>
        <w:t>Die Vorinstanz verletzt kein Bundesrecht, wenn sie aufgrund der festgestellten geringen Frustrationstoleranz und der fehlenden Festigung der lediglich angekündigten Verhaltensänderung des Beschwerdeführers die Gefahr einer Umsetzung der ausgesprochenen Drohung nach wie vor als gegeben erachtet. Sie durfte zudem das Präventionsinteresse an der Friedensbürgschaft ohne Verletzung des Verhältnismässigkeitsgrundsatzes bejahen, zumal offenbar das von der Beschwerdegegnerin gegen den Beschwerdeführer veranlasste (und noch immer hängige) Strafverfahren Auslöser der ausgestossenen Drohung war. Aufgrund des blossen Zeitablaufs seit der Drohung kann entgegen der Auffassung des Beschwerdeführers nicht jegliche Gefährdung der Beschwerdegegnerin ausgeschlossen werden. Dies gilt umso mehr, als die beiden Parteien seit längerem räumlich getrennt sind, jedoch gemäss Vorinstanz bei einem Zusammentreffen (wie vor der Untersuchungsbehörde) immer noch sehr emotional aufeinander reagieren. Dass die Beschwerdegegnerin den Antrag auf eine Friedensbürgschaft erst rund dreieinhalb Monate nach der Drohung, am 17. Mai 2010, gestellt hat, ändert am Präventionsinteresse ebenfalls nichts, zumal der Antrag nicht an eine Frist gebunden ist, solange die Ausübung des angedrohten Übels befürchtet werden muss (KISSLING, Friedensbürgschaft, a.a.O., S.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