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249</w:t>
      </w:r>
    </w:p>
    <w:p>
      <w:r>
        <w:t>Bundesgericht (BGE), 2011-09-27, DE</w:t>
      </w:r>
    </w:p>
    <w:p>
      <w:r>
        <w:rPr>
          <w:b/>
        </w:rPr>
        <w:t xml:space="preserve">Quelle: </w:t>
      </w:r>
      <w:r>
        <w:t>https://mcp.opencaselaw.ch/entscheid/bge_BGE_137_IV_249</w:t>
      </w:r>
    </w:p>
    <w:p>
      <w:r>
        <w:t>FR: ATF 137 IV 249</w:t>
      </w:r>
    </w:p>
    <w:p>
      <w:r>
        <w:t>IT: DTF 137 IV 249</w:t>
      </w:r>
    </w:p>
    <w:p>
      <w:pPr>
        <w:pStyle w:val="Heading2"/>
      </w:pPr>
      <w:r>
        <w:t>Regeste</w:t>
      </w:r>
    </w:p>
    <w:p>
      <w:r>
        <w:t>Regeste a Widerruf der bedingten Strafe; Änderung der Vorstrafe zur Bildung einer Gesamtstrafe in Anwendung von Art. 49 StGB (Art. 46 Abs. 1 Satz 2 StGB). Es widerspricht der ratio legis der Bestimmung von Art. 46 Abs. 1 StGB, eine (rechtskräftige) Vorstrafe zulasten des Verurteilten zu ändern. Das Verfahren ist nicht anwendbar, um eine Vorstrafe in eine schwerere Sanktion umzuwandeln (E. 3.4.3).</w:t>
      </w:r>
    </w:p>
    <w:p>
      <w:r>
        <w:t>Regeste b Sicherungseinziehung (Art. 69 Abs. 1 StGB); Zwecktauglichkeit der Einziehung von Gegenständen, die jederzeit ohne nennenswerte Schwierigkeiten wieder beschaffbar sind. Die Frage, ob die Einziehung von Gegenständen, die jederzeit ohne nennenswerte Schwierigkeiten wieder beschaffbar sind, zwecktauglich ist, beurteilt sich nach den Umständen des Einzelfalles. Die Einziehung des Fahrzeugs eines chronischen Verkehrsdelinquenten ist zumindest geeignet, weitere Widerhandlungen gegen das SVG zu verzögern oder zu erschweren (E. 4.5.2).</w:t>
      </w:r>
    </w:p>
    <w:p>
      <w:r>
        <w:t>Regeste a Révocation d'une condamnation avec sursis; modification d'une peine antérieure en vue du prononcé d'une peine d'ensemble en application de l'art. 49 CP (art. 46 al. 1 2 e phrase CP). Il est contraire à la ratio legis de l'art. 46 al. 1 CP de modifier une peine antérieure (exécutoire) au détriment du condamné. La procédure ne permet pas de commuer une peine antérieure en une sanction plus sévère (consid. 3.4.3).</w:t>
      </w:r>
    </w:p>
    <w:p>
      <w:r>
        <w:t>Regeste b Confiscation de sécurité (art. 69 al. 1 CP); adéquation de la confiscation d'objets qu'il est en tout temps possible de se procurer sans difficulté particulière. La question de l'adéquation de la confiscation d'objets qu'il est en tout temps possible de se procurer sans difficulté particulière, s'examine au cas par cas. La confiscation du véhicule appartenant à l'auteur d'infractions chroniques au code de la route permet à tout le moins de retarder ou d'entraver la commission de nouvelles infractions à la LCR (consid. 4.5.2).</w:t>
      </w:r>
    </w:p>
    <w:p>
      <w:r>
        <w:t>Regesto a Revoca della sospensione condizionale; modifica della precedente pena al fine di pronunciare una pena unica in applicazione dell'art. 49 CP (art. 46 cpv. 1 seconda frase CP). La modifica di una precedente pena (cresciuta in giudicato) a sfavore del condannato è contraria alla ratio legis dell'art. 46 cpv. 1 CP. La procedura non consente di trasformare la precedente pena in una sanzione più severa (consid. 3.4.3).</w:t>
      </w:r>
    </w:p>
    <w:p>
      <w:r>
        <w:t>Regesto b Confisca di oggetti pericolosi (art. 69 cpv. 1 CP); idoneità allo scopo della confisca di oggetti reperibili in qualsiasi momento senza particolari difficoltà. La questione di sapere se la confisca di oggetti reperibili in qualsiasi momento senza particolari difficoltà sia idonea a raggiungere il suo scopo va risolta sulla base delle circostanze del singolo caso. La confisca del veicolo di un contravventore inveterato alle norme della circolazione stradale permette per lo meno di ritardare o rendere più difficile la commissione di ulteriori infrazioni alla LCStr (consid. 4.5.2).</w:t>
      </w:r>
    </w:p>
    <w:p>
      <w:pPr>
        <w:pStyle w:val="Heading2"/>
      </w:pPr>
      <w:r>
        <w:t>Erwägungen</w:t>
      </w:r>
    </w:p>
    <w:p>
      <w:r>
        <w:rPr>
          <w:b/>
        </w:rPr>
        <w:t>E. 3</w:t>
      </w:r>
    </w:p>
    <w:p>
      <w:r>
        <w:t>Die Rügen des Beschwerdeführers richten sich gegen die unbedingt zu vollziehende Freiheitsstrafe von 9 Monaten und die zu widerrufende Geldstrafe von 50 Tagessätzen, welche zusammen die Gesamtfreiheitsstrafe von 10 Monaten bilden. Vorliegend ist von Amtes wegen zu prüfen, ob die Bildung der Gesamtfreiheitsstrafe bundesrechtskonform ist ( Art. 106 Abs. 1 BGG ; BGE 134 V 250 E. 1.2 S. 252 mit Hinweisen).</w:t>
      </w:r>
    </w:p>
    <w:p>
      <w:r>
        <w:rPr>
          <w:b/>
        </w:rPr>
        <w:t>E. 3.1</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 BGE 134 IV 97 E. 4.2.2 S. 101 mit Hinweisen). Die Geldstrafe als Vermögenssanktion wiegt prinzipiell weniger schwer als ein Eingriff in die persönliche Freiheit. Sie ist unabhängig von der Dauer der Freiheitsstrafe bzw. der Höhe des Geldstrafenbetrages gegenüber der Freiheitsstrafe milder ( BGE 134 IV 82 E. 7.2.2 S. 90 mit Hinweisen).</w:t>
      </w:r>
    </w:p>
    <w:p>
      <w:r>
        <w:rPr>
          <w:b/>
        </w:rPr>
        <w:t>E. 3.2</w:t>
      </w:r>
    </w:p>
    <w:p>
      <w:r>
        <w:t>Die Vorinstanz ändert die zu widerrufende Geldstrafe zur Bildung der Gesamtstrafe in eine Freiheitsstrafe und somit in eine schwerere Sanktion um. Ob dies bundesrechtskonform ist, hängt von der Interpretation von Art. 46 Abs. 1 Satz 2 StGB ab.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BGE 137 IV 249 S. 252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137 V 369 E. 4.4.3.2 S. 371; BGE 137 V 13 E. 5.1 S. 17; je mit Hinweisen).</w:t>
      </w:r>
    </w:p>
    <w:p>
      <w:r>
        <w:rPr>
          <w:b/>
        </w:rPr>
        <w:t>E. 3.3</w:t>
      </w:r>
    </w:p>
    <w:p>
      <w:r>
        <w:t>Das Bundesgericht setzte sich in BGE 134 IV 241 mit der Entstehungsgeschichte der Bestimmung von Art. 46 Abs. 1 Satz 2 StGB auseinander. Es legte dar, dass im Anschluss an die Verhandlungen der eidgenössischen Räte das Institut des "Aussetzens der Strafe" fallen gelassen wurde und Art. 46 Abs. 1 Satz 2 StGB des bundesrätlichen Entwurfs folgerichtig ersatzlos hätte gestrichen werden müssen (E. 4.1). Das Bundesgericht erwog im weiteren, soweit Art. 46 Abs. 1 Satz 2 in Verbindung mit Art. 49 StGB zum Ausdruck bringen sollte, dass das Gericht für die Gegenstand der früheren Verurteilung bildenden Straftaten einerseits und die während der Probezeit begangenen neuen Straftaten andererseits eine Gesamtstrafe nach dem Asperationsprinzip bilden könne, wie wenn es alle Straftaten gleichzeitig zu beurteilen hätte, erscheine dies als wenig sachgerecht. Der Fall, dass ein Täter nach einer rechtskräftigen Verurteilung zu einer bedingten Freiheitsstrafe während der Probezeit weitere Delikte verübe, unterscheide sich wesentlich vom Fall eines Täters, der sämtliche Taten begangen habe, bevor er wegen dieser Taten (siehe Art. 49 Abs. 1 StGB ) bzw. zumindest wegen eines Teils dieser Taten (vgl. Art. 49 Abs. 2 StGB betreffend die retrospektive Konkurrenz) verurteilt worden sei. Eine Gleichstellung dieser Fälle bei der Strafzumessung erscheine als sachfremd, weil damit der straferhöhend zu wertende Umstand, dass der Täter einen Teil der Taten während der Probezeit nach einer rechtskräftigen Verurteilung zu einer bedingten Strafe begangen habe, bei der Strafzumessung zu Unrecht unberücksichtigt bliebe (E. 4.3). Das Bundesgericht kam zum Schluss, das Verfahren nach Art. 46 Abs. 1 Satz 2 StGB sei nach dem klaren Wortlaut der Bestimmung ("... kann ...") fakultativ. Es finde einzig Anwendung, wenn die bedingte Vorstrafe und die neue Strafe nicht gleichartig seien und daher das Gericht die Art der Vorstrafe ändere (E. 4.4).</w:t>
      </w:r>
    </w:p>
    <w:p>
      <w:r>
        <w:rPr>
          <w:b/>
        </w:rPr>
        <w:t>E. 3.4</w:t>
      </w:r>
    </w:p>
    <w:p>
      <w:r>
        <w:t>Das Bundesgericht musste in BGE 134 IV 241 nicht auf die Problematik der Änderung der Vorstrafe zulasten des Verurteilten eingehen. Art. 46 Abs. 1 Satz 2 StGB ist vorliegend insbesondere unter diesem Blickwinkel zu prüfen. BGE 137 IV 249 S. 253</w:t>
      </w:r>
    </w:p>
    <w:p>
      <w:r>
        <w:rPr>
          <w:b/>
        </w:rPr>
        <w:t>E. 3.4.1</w:t>
      </w:r>
    </w:p>
    <w:p>
      <w:r>
        <w:t>In der Lehre wird eine Umwandlung der Vorstrafe zulasten des Verurteilten als rechtsstaatlich höchst bedenklich kritisiert. Zudem sei problematisch, für eine rechtskräftig beurteilte Tat (res iudicata) eine neue Strafe zu verhängen. Die überwiegende Lehre spricht sich dafür aus, die Änderungsformel nicht oder nur als ultima ratio anzuwenden (STRATENWERTH/WOHLERS, Schweizerisches Strafgesetzbuch, Handkommentar, 2. Aufl. 2009, N. 3 zu Art. 46 StGB ; TRECHSEL/STÖCKLI, Schweizerisches Strafgesetzbuch, Praxiskommentar, 2008, N. 6 zu Art. 46 StGB ; SCHNEIDER/GARRÉ, in: Basler Kommentar, Strafrecht, Bd. I, 2. Aufl. 2007, N. 30 zu Art. 79 StGB ; JÜRG-BEAT ACKERMANN, in: Basler Kommentar, Strafrecht, Bd. I, 2007, N. 35 zu Art. 49 StGB ; SCHWARZENEGGER/HUG/JOSITSCH, Strafrecht, Bd. II, 8. Aufl. 2007, S. 145 f.; GÜNTER STRATENWERTH, Schweizerisches Strafrecht, Allgemeiner Teil, Bd. II, Strafen und Massnahmen, 2. Aufl. 2006, § 5 N. 96; ANNETTE DOLGE, Geldstrafen als Ersatz für kurze Freiheitsstrafe - Top oder Flop, ZStrR 128/2010 S. 77; ROY GARRÉ, Die bedingten Strafen nach dem revidierten Allgemeinen Teil des Strafgesetzbuchs, Anwaltsrevue 2005 S. 302; a.M.: GEORGES GREINER, Bedingte und teilbedingte Strafen, Strafzumessung, in: Zur Revision des Allgemeinen Teils des Schweizerischen Strafrechts und zum neuen materiellen Jugendstrafrecht, Bänziger/Hubschmid/Sollberger [Hrsg.], 2. Aufl. 2006, S. 127 ).</w:t>
      </w:r>
    </w:p>
    <w:p>
      <w:r>
        <w:rPr>
          <w:b/>
        </w:rPr>
        <w:t>E. 3.4.2</w:t>
      </w:r>
    </w:p>
    <w:p>
      <w:r>
        <w:t>In systematischer Hinsicht nennt die Bestimmung von Art. 46 Abs. 1 Satz 2 StGB zur Bildung der Gesamtstrafe die "sinngemässe Anwendung von Art. 49 StGB ": 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Nach der bundesgerichtlichen Rechtsprechung greift das sogenannte Asperationsprinzip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BGE 137 IV 249 S. 254 der Zusatzstrafe bei der retrospektiven Konkurrenz. Der Zweitrichter ist in Bezug auf die Strafart an den rechtskräftigen ersten Entscheid gebunden (vgl. BGE 137 IV 57 E. 4.3.1 S. 58 mit Hinweisen; JÜRG-BEAT ACKERMANN, in: Basler Kommentar, a.a.O., N. 36 zu Art. 49 StGB ). Die Bildung der Gesamtstrafe gemäss Art. 49 StGB unterliegt somit dem Verhältnismässigkeitsprinzip ( BGE 134 IV 97 E. 4.2.2, s. E. 3.1 hiervor). Im Falle der retrospektiven Konkurrenz ist der Zweitrichter nicht befugt, die Strafart des rechtskräftigen ersten Entscheides zu ändern. Bei analoger Anwendung dieser Grundsätze im Verfahren nach Art. 46 Abs. 1 Satz 2 StGB ist die Änderung der Vorstrafe - insbesondere zulasten des Beschuldigten - ausgeschlossen.</w:t>
      </w:r>
    </w:p>
    <w:p>
      <w:r>
        <w:rPr>
          <w:b/>
        </w:rPr>
        <w:t>E. 3.4.3</w:t>
      </w:r>
    </w:p>
    <w:p>
      <w:r>
        <w:t>Wie bereits in BGE 134 IV 241 dargelegt, entspricht Art. 46 Abs. 1 Satz 2 StGB nicht dem historischen Willen des Gesetzgebers (s. E. 3.3 hiervor). Die teleologische Auslegung führt zum gleichen Ergebnis. Insgesamt widerspricht es der ratio legis der Bestimmung, eine (rechtskräftige) Vorstrafe zulasten des Verurteilten zu ändern. Das Verfahren nach Art. 46 Abs. 1 Satz 2 StGB ist somit nicht anwendbar, um eine Vorstrafe in eine schwerere Sanktion umzuwandeln. Nach dem Gesagten verletzt die Vorinstanz Bundesrecht, indem sie die frühere Geldstrafe in eine Freiheitsstrafe ändert, um den Beschwerdeführer zu einer Gesamtfreiheitsstrafe zu verurteilen.</w:t>
      </w:r>
    </w:p>
    <w:p>
      <w:r>
        <w:rPr>
          <w:b/>
        </w:rPr>
        <w:t>E. 4</w:t>
      </w:r>
    </w:p>
    <w:p>
      <w:r>
        <w:t>Der Beschwerdeführer rügt weiter die Verletzung von Bundesrecht durch die Einziehung seiner beiden Traktoren.</w:t>
      </w:r>
    </w:p>
    <w:p>
      <w:r>
        <w:rPr>
          <w:b/>
        </w:rPr>
        <w:t>E. 4.1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w:t>
      </w:r>
    </w:p>
    <w:p>
      <w:r>
        <w:rPr>
          <w:b/>
        </w:rPr>
        <w:t>E. 4.2</w:t>
      </w:r>
    </w:p>
    <w:p>
      <w:r>
        <w:t>Die Vorinstanz erwägt, dem Beschwerdeführer sei der Führerausweis mit Wirkung ab 1. November 2008 auf unbestimmte Zeit entzogen worden. Dennoch sei er mit den Traktoren Case-Int. National 885 AXL und Valmet 8350-4Hitech mehrmals unterwegs gewesen. Bei der Fahrt vom 10. Januar 2009 habe er eine qualifizierte Blutalkoholkonzentration aufgewiesen, seine Geschwindigkeit nicht den Strassenverhältnissen angepasst und einen Selbstunfall mit beträchtlichem Sachschaden verursacht. Auch am 13. Juni 2009 habe er die Traktoren in alkoholisiertem Zustand gefahren. Werde BGE 137 IV 249 S. 255 von der Einziehung abgesehen, sei wahrscheinlich, dass er in naher Zukunft erneut unter Verwendung des einen oder anderen Traktors den Tatbestand von Art. 91 Abs. 1 SVG bzw. Art. 95 Ziff. 2 SVG erfülle und damit die Sicherheit von Menschen gefährde. Der Beschwerdeführer sei in keiner Weise einsichtig oder reuig. Es sei nicht auszuschliessen, dass er sich wieder einen neuen Traktor beschaffe. Da für ihn die Hürde, ein sofort verfügbares Fahrzeug trotz Entzugs des Führerausweises zu benutzen, aber deutlich tiefer liege, als wenn er zuerst ein neues Fahrzeug kaufen und einlösen müsse, sei die Einziehung dennoch zur Erreichung ihres Zweckes geeignet. Es sei keine mildere Massnahme ersichtlich, um den Beschwerdeführer von einem neuerlichen Verstoss gegen das SVG abzuhalten. Insbesondere sei ihm der Führerausweis bereits auf unbestimmte Zeit entzogen worden. Schliesslich überwiege das öffentliche Interesse der Sicherheit den finanziellen Verlust, welchen er bei der gerichtlichen Verwertung der Traktoren erleide.</w:t>
      </w:r>
    </w:p>
    <w:p>
      <w:r>
        <w:rPr>
          <w:b/>
        </w:rPr>
        <w:t>E. 4.3</w:t>
      </w:r>
    </w:p>
    <w:p>
      <w:r>
        <w:t>Der Beschwerdeführer wendet ein, die Vorinstanz stütze ihre Prognose der Gefährdung in einseitiger Weise auf seine angeblich fehlende Reue und Einsicht. Diese beurteile sie aufgrund seines Verhaltens während des gerichtlichen Verfahrens und vernachlässige seine Bemühungen, welche er seither unternommen habe (Verzicht auf die AHV-Rente zur Wiedergutmachung eines Schadens, Kauf eines Generalabonnements der SBB, Benutzung der Traktoren ausschliesslich auf den Feldern). Da er seit beinahe eineinhalb Jahren mit den Traktoren nicht mehr auf öffentlichen Strassen fahre, sei davon auszugehen, dass er sich auch in Zukunft wohlverhalten werde. Weiter verletze die Einziehung das Prinzip der Verhältnismässigkeit. Er könnte sich einen Traktor kaufen oder sich umgehend einen solchen von einem befreundeten Bauern aus der Umgebung leihen. Deshalb sei die Einziehung ungeeignet, den Sicherungszweck zu erreichen. Zudem erlitte er bei einer gerichtlichen Verwertung der Traktoren einen hohen Verlust, weil dabei wesentlich tiefere Preise erzielt würden als bei Freihandverkäufen.</w:t>
      </w:r>
    </w:p>
    <w:p>
      <w:r>
        <w:rPr>
          <w:b/>
        </w:rPr>
        <w:t>E. 4.4</w:t>
      </w:r>
    </w:p>
    <w:p>
      <w:r>
        <w:t>Die Sicherungseinziehung ist eine sachliche Massnahme zum Schutz der Allgemeinheit vor rechtsgutgefährdender (Wieder-)Verwendung von gefährlichen Gegenständen. Das Gericht hat im Sinne einer Gefährdungsprognose zu prüfen, ob es hinreichend wahrscheinlich ist, dass der Gegenstand in der Hand des Täters in der Zukunft die Sicherheit von Menschen, die Sittlichkeit oder die öffentliche Ordnung gefährdet ( BGE 130 IV 143 E. 3.3.1 S. 149 mit Hinweisen). BGE 137 IV 249 S. 256 Die Vorinstanz begründet ihre Gefährdungsprognose entgegen dem Einwand des Beschwerdeführers nicht nur mit seiner fehlenden Reue bzw. Einsicht in das Unrecht seiner Taten. Sie verweist auf die einschlägigen Vorstrafen und Administrativmassnahmen, welche den Beschwerdeführer nicht von weiteren Widerhandlungen gegen das SVG abzuhalten vermochten. Ungeachtet des Führerausweisentzugs auf unbestimmte Zeit und des laufenden Strafverfahrens hat er wiederholt seine Traktoren auf öffentlichen Strassen benutzt ( Art. 95 Ziff. 2 SVG ). Teilweise war er in alkoholisiertem bzw. fahrunfähigem Zustand unterwegs ( Art. 91 Abs. 1 SVG ) und gefährdete dadurch das Leben und die Sicherheit anderer Verkehrsteilnehmer. Dieses Verhalten des Beschwerdeführers zeugt von einer derartigen Unbelehrbarkeit bzw. Uneinsichtigkeit, dass die Vorinstanz trotz seines Wohlverhaltens seit August 2009 und der Tatsache, dass er eine mehrmonatige Freiheitsstrafe zu verbüssen hat, es als wahrscheinlich erachtet, dass er seine Traktoren weiterhin unerlaubt einsetzen und damit die öffentliche Ordnung oder sogar die Sicherheit von Menschen gefährden werde. Die vorinstanzliche Gefährdungsprognose verletzt kein Bundesrecht.</w:t>
      </w:r>
    </w:p>
    <w:p>
      <w:r>
        <w:rPr>
          <w:b/>
        </w:rPr>
        <w:t>E. 4.5</w:t>
      </w:r>
    </w:p>
    <w:p>
      <w:r>
        <w:t>Die Sicherungseinziehung stellt einen Eingriff in die Eigentumsgarantie nach Art. 26 BV dar und untersteht deshalb dem Grundsatz der Verhältnismässigkeit ( Art. 36 BV ). Dieser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 BGE 135 I 209 E. 3.3.1 S. 215 mit Hinweisen).</w:t>
      </w:r>
    </w:p>
    <w:p>
      <w:r>
        <w:rPr>
          <w:b/>
        </w:rPr>
        <w:t>E. 4.5.1</w:t>
      </w:r>
    </w:p>
    <w:p>
      <w:r>
        <w:t>Die Vorinstanz begründet, weshalb es kein milderes Mittel als die Einziehung der Traktoren gibt, um den Beschwerdeführer von weiteren Widerhandlungen gegen das SVG abzuhalten. Wie sie mit Recht ausführt, besteht bei Herausgabe des Erlöses der gerichtlichen Verwertung kein Missverhältnis zwischen dem Sicherungszweck und dem Eingriff in das Eigentumsrecht des Beschwerdeführers.</w:t>
      </w:r>
    </w:p>
    <w:p>
      <w:r>
        <w:rPr>
          <w:b/>
        </w:rPr>
        <w:t>E. 4.5.2</w:t>
      </w:r>
    </w:p>
    <w:p>
      <w:r>
        <w:t>Zu prüfen ist, ob die Einziehung zur Erreichung des Sicherheitszwecks geeignet ist, obschon sich der Beschwerdeführer mit dem Verwertungserlös einen neuen Traktor beschaffen könnte. Das Bundesgericht hat die Frage, ob die Einziehung von Gegenständen, die jederzeit ohne nennenswerte Schwierigkeiten wieder BGE 137 IV 249 S. 257 beschaffbar sind, zwecktauglich ist, bisher noch nicht abschliessend beantwortet ( BGE 117 IV 345 E. 2c S. 349; BGE 81 IV 217 E. 3 S. 220; Urteile 6S.527/1991 vom 25. November 1991 E. 4b; 6S.451/1991 vom 18. Mai 1992 E. 5c; 6S.308/1995 vom 19. Juni 1995 E. 2b; 6S.410/1995 vom 29. August 1995 E. 1d; je mit Hinweisen). In der Literatur wird mehrheitlich die Auffassung vertreten, die Eignung sei diesfalls nicht grundsätzlich auszuschliessen, sondern nach den Umständen des Einzelfalles, wie etwa dem Wert des Gegenstandes, zu beurteilen (so etwa TRECHSEL/JEAN-RICHARD, in: Schweizerisches Strafgesetzbuch, Praxiskommentar, 2008, N. 3 zu Art. 69 StGB ; NIKLAUS SCHMID, Kommentar Einziehung, Organisiertes Verbrechen, Geldwäscherei, Bd. I, 2. Aufl. 2007, N. 68 zu Art. 69 StGB ; ALBIN ESER, Die strafrechtlichen Sanktionen gegen das Eigentum, Tübingen 1969, S. 276 f.). Im vorliegenden Fall handelt es sich bei den einzuziehenden Gegenständen um Fahrzeuge, mittels welchen der Beschwerdeführer Widerhandlungen gegen das SVG beging. Dieser fuhr trotz Führerausweisentzugs auf unbestimmte Zeit weiterhin mit seinen Traktoren auf öffentlichen Strassen, teilweise in alkoholisiertem Zustand. Das Bundesgericht hielt in einem Entscheid mit vergleichbarem Sachverhalt fest, das Verhältnismässigkeitsprinzip widerspreche nicht in jedem Fall der Einziehung eines Fahrzeuges (Urteil 6S.308/1995 vom 19. Juni 1995 E. 2b). Die Lehre nimmt zur Frage, ob das Fahrzeug eines chronischen Verkehrsdelinquenten eingezogen werden könne, eine eher kritische Haltung ein. Sie schliesst dies jedoch nicht konsequent aus bzw. erachtet die Notwendigkeit der Wiederbeschaffung eines neuen Fahrzeugs trotz Führerausweisentzugs als Hürde, welche die Einziehung rechtfertigen könne (siehe dazu FLORIAN BAUMANN, in: Basler Kommentar, Strafrecht, Bd. I, 2. Aufl. 2007, N. 14b zu Art. 69 StGB ; MADELEINE HIRSIG-VOUILLOZ, in: Commentaire romand, Code pénal, Bd. I, 2009, N. 24 zu Art. 69 StGB ; SCHWARZENEGGER/HUG/JOSITSCH, Strafrecht, Bd. II, 8. Aufl. 2007, S. 203; MARTIN SCHUBARTH, Konfiskation des Autos - angemessene Sanktion gegen "Raser"-, in: AJP 5/2005 S. 532). Bei den Traktoren des Beschwerdeführers handelt es sich um wertvolle Gegenstände. Auch wenn sie leicht ersetzbar sind, wäre eine Wiederbeschaffung mit erheblichen Kosten verbunden. Die Einziehung ist zumindest geeignet, weitere Widerhandlungen des Beschwerdeführers gegen das SVG zu verzögern oder zu erschweren (vgl. Urteil 6S.410/1995 vom 29. August 1995 E. 1d mit Hinweis; ESER, a.a.O.). BGE 137 IV 249 S. 258 In Gesamtwürdigung der konkreten Umstände ist es bundesrechtlich nicht zu beanstanden, dass die Vorinstanz die Einziehung der Traktoren zur Erreichung des Sicherungszwecks als geeignet erachtet. Der Eingriff in das Eigentumsrecht des Beschwerdeführers erweist sich als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