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201</w:t>
      </w:r>
    </w:p>
    <w:p>
      <w:r>
        <w:t>Bundesgericht (BGE), 2011-05-05, FR</w:t>
      </w:r>
    </w:p>
    <w:p>
      <w:r>
        <w:rPr>
          <w:b/>
        </w:rPr>
        <w:t xml:space="preserve">Quelle: </w:t>
      </w:r>
      <w:r>
        <w:t>https://mcp.opencaselaw.ch/entscheid/bge_BGE_137_IV_201</w:t>
      </w:r>
    </w:p>
    <w:p>
      <w:r>
        <w:t>FR: ATF 137 IV 201</w:t>
      </w:r>
    </w:p>
    <w:p>
      <w:r>
        <w:t>IT: DTF 137 IV 201</w:t>
      </w:r>
    </w:p>
    <w:p>
      <w:pPr>
        <w:pStyle w:val="Heading2"/>
      </w:pPr>
      <w:r>
        <w:t>Regeste</w:t>
      </w:r>
    </w:p>
    <w:p>
      <w:r>
        <w:t>Regeste Art. 56 Abs. 2 und 6, Art. 59 Abs. 1, Art. 62 Abs. 1, Art. 62c Abs. 1 und 3-6, Art. 62d Abs. 1 StGB; Verweigerung der bedingten Entlassung aus einer stationären Massnahme. Zusammenfassung der Grundsätze (E. 1). Voraussetzungen der Gefährlichkeit und der Wiederholungsgefahr erfüllt bei einer schweren geistigen Erkrankung (paranoide Schizophrenie) einhergehend mit einer beträchtlichen psychischen Instabilität und einer Zwangsstörung (Abhängigkeit von verschiedenen psychoaktiven Substanzen), die eine Gefahr für die öffentliche Sicherheit mit sich bringt - bestätigt durch zahlreiche Aggressionen gegenüber Aufsichtspersonen und das zweimalige Inbrandsetzen des eigenen Bettes -, welche die Schwere der begangenen Straftaten übersteigt (E. 2). In Anbetracht der Gefährlichkeit für Dritte erscheint die Fortsetzung der bald acht Jahre andauernden, nicht aussichtslosen stationären Massnahme gegenüber dem öffentlichen Interesse an der Verhinderung künftiger Straftaten nicht unverhältnismässig (E. 3).</w:t>
      </w:r>
    </w:p>
    <w:p>
      <w:r>
        <w:t>Regeste Art. 56 al. 2 et 6, art. 59 al. 1, art. 62 al. 1, art. 62c al. 1 et 3-6, art. 62d al. 1 CP; refus de la libération conditionnelle d'une mesure institutionnelle. Rappel des principes (consid. 1). Conditions de la dangerosité et du risque de récidive remplies en relation avec une grave pathologie mentale (schizophrénie paranoïde) associant une importante désorganisation psychique à une compulsion (dépendance à des substances psychoactives multiples), qui entraîne un danger pour la sécurité publique - confirmé par les nombreuses agressions perpétrées sur les surveillants et la mise à feu de son lit à deux reprises - excédant la gravité des infractions commises (consid. 2). Compte tenu de la dangerosité pour autrui, la poursuite, depuis près de huit ans, du traitement institutionnel, qui n'est pas dénué de chance de succès, n'apparaît pas disproportionnée par rapport à l'intérêt public à la prévention de futures infractions (consid. 3).</w:t>
      </w:r>
    </w:p>
    <w:p>
      <w:r>
        <w:t>Regesto Art. 56 cpv. 2 e 6, art. 59 cpv. 1, art. 62 cpv. 1, art. 62c cpv. 1 e 3-6, art. 62d cpv. 1 CP; diniego della liberazione condizionale da una misura terapeutica stazionaria. Riepilogo dei principi (consid. 1). Condizioni della pericolosità e del rischio di recidiva adempiute in presenza di una grave patologia mentale (schizofrenia paranoide) che associa un'importante disorganizzazione psichica a una compulsione (dipendenza da sostanze psicoattive multiple) e che comporta un pericolo per la sicurezza pubblica - confermato da numerose aggressioni commesse ai danni degli agenti di custodia e dall'incendio del letto in due occasioni - superiore alla gravità delle infrazioni perpetrate (consid. 2). Considerata la pericolosità per gli altri, la misura terapeutica stazionaria in essere da quasi otto anni - misura non priva di prospettive di successo - non appare sproporzionata rispetto all'interesse pubblico alla prevenzione di reati futuri (consid. 3).</w:t>
      </w:r>
    </w:p>
    <w:p>
      <w:pPr>
        <w:pStyle w:val="Heading2"/>
      </w:pPr>
      <w:r>
        <w:t>Erwägungen</w:t>
      </w:r>
    </w:p>
    <w:p>
      <w:r>
        <w:rPr>
          <w:b/>
        </w:rPr>
        <w:t>E. 1</w:t>
      </w:r>
    </w:p>
    <w:p>
      <w:r>
        <w:t>Le recourant invoque une violation des art. 59, 62, 62c et 62d CP.</w:t>
      </w:r>
    </w:p>
    <w:p>
      <w:r>
        <w:rPr>
          <w:b/>
        </w:rPr>
        <w:t>E. 1.1</w:t>
      </w:r>
    </w:p>
    <w:p>
      <w:r>
        <w:t>Aux termes de l' art. 62d al. 1 CP ,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Comme sous l'empire de l'ancien art. 45 ch. 1 al. 3 CP ( ATF 128 IV 241 consid. 3.2 p. 247 s.), le rapport exigé par la disposition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(arrêt 6B_714/2009 du 19 novembre 2009 consid. 1.1 et les réf. citées).</w:t>
      </w:r>
    </w:p>
    <w:p>
      <w:r>
        <w:rPr>
          <w:b/>
        </w:rPr>
        <w:t>E. 1.2</w:t>
      </w:r>
    </w:p>
    <w:p>
      <w:r>
        <w:t>Conformément à l' art. 62 al. 1 CP ,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eu pour effet d'éliminer BGE 137 IV 201 S. 203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(arrêt 6B_714/2009 du 19 novembre 2009 consid. 1.2 et les réf. citées), étant rappelé que s'agissant de la décision sur le pronostic, le principe "in dubio pro reo" n'est pas applicable ( ATF 127 IV 1 consid. 2a p. 4 s.). Ce pronostic doit être posé en tenant compte du principe de la proportionnalité (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(6B_457/2007 du 12 novembre 2007 consid. 5.2).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 ATF 127 IV 1 consid. 2a p. 5 et les arrêts cités). Le pronostic doit également tenir compte de la durée de la privation de liberté déjà subie par l'auteur (en ce sens: ROTH/THALMANN, in Commentaire romand, Code pénal, vol. I, 2009, n° 26 ad art. 62 CP ). Cependant, cette circonstance est sans pertinence lorsque la dangerosité actuelle de l'auteur atteint le degré requis pour justifier l'internement chez un individu inaccessible à un traitement médical. En effet, la loi ne limite pas l'internement dans le temps et n'autorise la libération conditionnelle d'un interné que s'il est hautement vraisemblable que celui-ci se comportera correctement en liberté (cf. art. 64a al. 1 CP ; MARIANNE HEER, in Basler Kommentar, Strafrecht, vol. I, 2 e éd. 2007, n° 13 ad art. 64a CP ). Il est ainsi manifeste que, dans la pesée des intérêts opérée par le législateur, le droit à la liberté personnelle d'un auteur qui présente une dangerosité susceptible de justifier un internement ne l'emporte jamais sur l'intérêt public à la sécurité des personnes. BGE 137 IV 201 S. 204</w:t>
      </w:r>
    </w:p>
    <w:p>
      <w:r>
        <w:rPr>
          <w:b/>
        </w:rPr>
        <w:t>E. 1.3</w:t>
      </w:r>
    </w:p>
    <w:p>
      <w:r>
        <w:t>Conformément à l' art. 56 al. 6 CP , une mesure dont les conditions ne sont plus remplies doit être levée. Comme son prononcé suppose qu'elle soit propre à détourner l'auteur de la commission de nouvelles infractions en relation avec son grave trouble mental (cf. art. 59 al. 1 let. b CP ), une mesure thérapeutique institutionnelle ne peut dès lors être maintenue que si elle conserve une chance de succès, ainsi que le prévoit du reste l' art. 62c al. 1 let. a CP . Au contraire de l'internement, qui consiste principalement à neutraliser l'auteur, la mesure thérapeutique institutionnelle cherche à réduire le risque de récidive par une amélioration des facteurs inhérents à l'intéressé (cf. ANDREA BAECHTOLD, Exécution des peines, 2008, p. 316).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 art. 64 CP .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 HEER, op. cit., n° 66 ad art. 59 CP ). Mais, lorsqu'il n'y a plus lieu de s'attendre à une amélioration de l'état de l'auteur, l'autorité compétente doit lever la mesure, en prenant au besoin une ou plusieurs des dispositions prévues à l'art. 62c al. 3 à 6 CP.</w:t>
      </w:r>
    </w:p>
    <w:p>
      <w:r>
        <w:rPr>
          <w:b/>
        </w:rPr>
        <w:t>E. 1.4</w:t>
      </w:r>
    </w:p>
    <w:p>
      <w:r>
        <w:t>L' art. 59 al. 4 CP prévoit que la mesure ne peut, en règle générale, excéder cinq ans. Cependant, si les conditions d'une libération conditionnelle ne sont pas réunies après cinq ans et qu'il est à prévoir que le maintien de la mesure détournera l'auteur de nouveaux crimes ou délits en relation avec le trouble mental, le juge peut ordonner la prolongation de la mesure de cinq ans au plus à chaque fois. La mesure peut ainsi être reconduite aussi souvent et aussi longtemps que son maintien s'avère nécessaire, approprié et proportionnel ( ATF 135 IV 139 consid. 2.1 p. 141). Dans ce cadre, elle ne connaît pas de BGE 137 IV 201 S. 205 limite maximale. Cette prolongation est indiquée lors de traitements selon l' art. 59 al. 3 CP . Cette possibilité existe parce que les mesures thérapeutiques appliquées à des malades mentaux chroniques n'agissent souvent que très lentement ( ATF 134 IV 315 consid. 3.4.1 p. 321 s. et réf. citées).</w:t>
      </w:r>
    </w:p>
    <w:p>
      <w:r>
        <w:rPr>
          <w:b/>
        </w:rPr>
        <w:t>E. 2</w:t>
      </w:r>
    </w:p>
    <w:p>
      <w:r>
        <w:t>Le recourant conteste l'appréciation du risque de récidive par la cour de cassation pénale au regard des infractions qu'il a commises qu'il qualifie de délits mineurs et fait valoir que le risque de passage à l'acte est faible. Il conteste mettre gravement en danger l'ordre ou la sécurité publics.</w:t>
      </w:r>
    </w:p>
    <w:p>
      <w:r>
        <w:rPr>
          <w:b/>
        </w:rPr>
        <w:t>E. 2.1</w:t>
      </w:r>
    </w:p>
    <w:p>
      <w:r>
        <w:t>Pour la cour de cassation pénale, même si la gravité des infractions à l'origine de la mesure n'est pas particulièrement significative, le pronostic de la mesure selon l' art. 62 al. 1 CP doit être examiné de manière rigoureuse au regard de la dangerosité de l'intéressé relevée par les experts, dangerosité qui s'est manifestée en particulier quand le recourant a bouté le feu à deux reprises à son lit. Se fondant sur les avis médicaux unanimes, la cour cantonale retient que le recourant est atteint d'une pathologie psychiatrique majeure, ancienne, au traitement long et aléatoire, dont il ne parvient pas à surmonter les effets. En raison notamment de troubles délirants et de l'impulsivité occasionnée par cette double pathologie, il présente un danger pour la sécurité publique au vu du risque de réitération mis en évidence par les experts, ce danger excédant de beaucoup la gravité intrinsèque des infractions. En conséquence, aucun pronostic favorable quant au comportement futur de l'intéressé ne peut être posé en l'état.</w:t>
      </w:r>
    </w:p>
    <w:p>
      <w:r>
        <w:rPr>
          <w:b/>
        </w:rPr>
        <w:t>E. 2.2</w:t>
      </w:r>
    </w:p>
    <w:p>
      <w:r>
        <w:t>Il est constant que le recourant souffre d'un grave trouble mental chronique qui peut le conduire à adopter des comportements dangereux, respectivement menaçants ou violents pour autrui. Cette dangerosité résulte de l'association, d'une part, d'une schizophrénie paranoïde (impliquant une vulnérabilité au stress considérable selon l'expertise du 20 décembre 2004) et, d'autre part, d'un syndrome de dépendance à des substances psychoactives multiples (réponse au stress selon la même expertise), soit une grave désorganisation psychique associée à une compulsion. La pathologie mentale est jugée grave. Le constat selon lequel l'intéressé présente un danger pour la sécurité publique qui va au-delà de la gravité des infractions qu'il a commises, est conforté par les nombreuses agressions qu'il a perpétrées sur des surveillants ainsi que par l'usage du feu à deux reprises BGE 137 IV 201 S. 206 depuis son arrivée à l'unité psychiatrique des EPO le 23 mars 2010. Les expertises des 20 décembre 2004 et 22 janvier 2010 mentionnent expressément un risque de réitération significatif à défaut de tout traitement institutionnel et en cas de consommation de substances psychoactives. L'appréciation par les experts de 2004 de ce risque d'hétéro-agressivité, majoré en cas de rechute toxicomaniaque, déjà retenu par le Tribunal fédéral dans l'arrêt précédent (6B_241/2008 du 12 juin 2008 consid. 3.1.1) n'a pas été évaluée différemment dans l'expertise du 22 janvier 2010. Il a été relativisé par les seconds experts, uniquement dans le contexte d'un élargissement dans le cadre carcéral et à la condition que l'adhésion du recourant au traitement perdure. Ces conclusions ont été suivies, puisque l'intéressé a pu sortir d'isolement cellulaire le 23 mars 2010 et être transféré à l'Unité de psychiatrie des EPO. Au vu de ces éléments, l'appréciation de la cour cantonale quant à la dangerosité et au risque de récidive qui fondent un pronostic défavorable à une libération conditionnelle ne souffre aucune critique.</w:t>
      </w:r>
    </w:p>
    <w:p>
      <w:r>
        <w:rPr>
          <w:b/>
        </w:rPr>
        <w:t>E. 3</w:t>
      </w:r>
    </w:p>
    <w:p>
      <w:r>
        <w:t>Le recourant soutient que la mesure thérapeutique institutionnelle n'est pas susceptible d'améliorer son état. La prolongation du maintien en milieu carcéral après plusieurs années violerait le droit fédéral. Par son grief, il s'en prend à la proportionnalité de la mesure.</w:t>
      </w:r>
    </w:p>
    <w:p>
      <w:r>
        <w:rPr>
          <w:b/>
        </w:rPr>
        <w:t>E. 3.1</w:t>
      </w:r>
    </w:p>
    <w:p>
      <w:r>
        <w:t>Pour la cour cantonale, seule une mesure thérapeutique institutionnelle en milieu carcéral permet d'assurer l'adhésion du condamné au traitement et de le soigner en le mettant, lui et autrui, à l'abri de la dangerosité découlant de sa pathologie, qui présente un caractère persistant, même si ses manifestations varient en intensité au fil du temps. Si quelques progrès ont pu être obtenus en matière d'alliance thérapeutique, c'est précisément du fait de la contrainte que seul un cadre institutionnel fermé peut apporter. Les experts ont attribué l'absence de progrès de l'expertisé sur le plan thérapeutique non seulement à la gravité du trouble qui l'affecte, mais aussi au manque de continuité dans la prise en charge médicamenteuse du fait de son absence de collaboration et/ou de son adhésion partielle au traitement. Bien qu'ils évoquent le caractère extrêmement aléatoire d'un succès thérapeutique, ils ne l'excluent pas pour autant et préconisent à long terme une thérapie multidimensionnelle avec des mesures d'élargissement progressives. Le dernier rapport du SMPP du 5 juillet 2010 conclut, de manière générale, à une bonne alliance thérapeutique depuis que le recourant a rejoint l'unité de psychiatrie, même si elle peut être mise à mal lorsque les BGE 137 IV 201 S. 207 idées délirantes envahissent les relations interpersonnelles. Au vu de ces constatations, que le recourant ne discute pas ( art. 105 al. 1 LTF ), et compte tenu de la large portée qu'il faut attribuer à la notion de traitement médical (consid. 1.3) ainsi que des quelques progrès avérés accomplis par le recourant depuis le mois de mars 2010, le moyen tiré de l'absence de toute chance de succès de la mesure thérapeutique institutionnelle est infondé.</w:t>
      </w:r>
    </w:p>
    <w:p>
      <w:r>
        <w:rPr>
          <w:b/>
        </w:rPr>
        <w:t>E. 3.2</w:t>
      </w:r>
    </w:p>
    <w:p>
      <w:r>
        <w:t>Au regard de la durée et de l'intensité de la mesure, la cour cantonale relève que le recourant a, depuis sa récente adhésion au traitement, bénéficié d'un allègement de régime, soit d'un passage de régime cellulaire à celui de l'unité de psychiatrie des EPO, en date du 23 mars 2010. Comme l'a relevé l'autorité cantonale, l'atteinte à la liberté personnelle imposée par la mesure a été modifiée en fonction de la situation et ne dépasse pas ce qui est strictement nécessaire à la thérapie. Le temps écoulé depuis le prononcé de la mesure ordonnée en 2005 ne suffit pas à lui seul pour retenir qu'elle serait disproportionnée. Un traitement institutionnel dure en principe jusqu'à ce que son but soit atteint, si sa poursuite ne paraît pas vouée à l'échec. En l'espèce, il a été retenu que le recourant n'est pas inaccessible au traitement. Le succès thérapeutique impose, selon les experts, un encadrement médical adéquat. Selon eux, il serait prématuré d'envisager de mettre fin au placement carcéral, une telle décision ne pouvant intervenir qu'en cas de résultats positifs dans le cadre des premières mesures d'élargissement envisagées. Dans ce cas, un placement dans une institution médico-sociale cadrante à visée réhabilitative serait nécessaire pour une bonne évolution à long terme. Il en résulte que l'amélioration de l'état de santé du recourant, compte tenu de sa pathologie, ne peut être obtenu que par un traitement de longue haleine qui comporte des paliers progressifs d'élargissement. Les traitements sur une longue durée sont propres au type de pathologie dont souffre le recourant (consid. 1.4) et c'est au regard de ces considérations que la loi n'a pas fixé de limite maximale au renouvellement des traitements institutionnels. Compte tenu de la dangerosité que le recourant présente pour autrui (consid. 2.1), des perspectives de stabilisation et d'amélioration de son état de santé, la gravité de l'atteinte aux droits de sa personnalité qu'implique la poursuite du traitement institutionnel depuis près de huit ans n'apparaît pas disproportionnée par rapport à l'intérêt public à la prévention de futures infractions.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