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IV 122</w:t>
      </w:r>
    </w:p>
    <w:p>
      <w:r>
        <w:rPr>
          <w:i/>
        </w:rPr>
        <w:t>Bundesgericht (BGE)</w:t>
      </w:r>
      <w:r>
        <w:rPr>
          <w:i/>
        </w:rPr>
        <w:t xml:space="preserve">  ·  2011-05-16</w:t>
      </w:r>
      <w:r>
        <w:rPr>
          <w:i/>
        </w:rPr>
        <w:t xml:space="preserve">  ·  DE</w:t>
      </w:r>
    </w:p>
    <w:p>
      <w:r>
        <w:rPr>
          <w:b/>
        </w:rPr>
        <w:t xml:space="preserve">Source: </w:t>
      </w:r>
      <w:r>
        <w:t>https://mcp.opencaselaw.ch/entscheid/bge_BGE_137_IV_122</w:t>
      </w:r>
    </w:p>
    <w:p>
      <w:r>
        <w:t>FR: ATF 137 IV 122 · IT: DTF 137 IV 122</w:t>
      </w:r>
    </w:p>
    <w:p>
      <w:pPr>
        <w:pStyle w:val="Heading2"/>
      </w:pPr>
      <w:r>
        <w:t>Regeste</w:t>
      </w:r>
    </w:p>
    <w:p>
      <w:r>
        <w:t>Regeste Haftgrund der Ausführungsgefahr (Art. 221 Abs. 2 StPO); Ersatzmassnahme der Aufenthaltsbeschränkung (Art. 237 Abs. 2 lit. c StPO). Der dringende Tatverdacht (E. 3) und der besondere Haftgrund der Kollusionsgefahr (E. 4) sind zu bejahen. Hingegen liegt keine Ausführungsgefahr gemäss Art. 221 Abs. 2 StPO vor; denn die Möglichkeit der Anordnung von Präventivhaft entfällt, wenn sich die Drohung "lediglich" auf die Ausführung eines Vergehens im Sinne von Art. 10 Abs. 3 StGB bezieht (E. 5.2 und 5.3). Die Aufenthaltsbeschränkung gemäss Art. 237 Abs. 2 lit. c StPO besteht entweder in der Verpflichtung, ein bestimmtes Gebiet nicht zu verlassen (Eingrenzung), oder in jener, eine bestimmte Gegend nicht zu betreten (Ausgrenzung; E. 6.2). Eine Eingrenzung auf ein bestimmtes Gebiet kommt primär bei Fluchtgefahr in Betracht. Geht es demgegenüber darum einer Kollusionsgefahr in Form der möglichen Beeinflussung des mutmasslichen Opfers zu begegnen, genügt in aller Regel eine Ausgrenzung als mildere Massnahme (E. 6.4).</w:t>
      </w:r>
    </w:p>
    <w:p>
      <w:r>
        <w:t>Regeste Motif de détention fondé sur un risque de passage à l'acte (art. 221 al. 2 CPP); interdiction de se rendre dans un certain lieu comme mesure de substitution (art. 237 al. 2 let. c CPP). Il existe des indices graves de culpabilité (consid. 3) et un motif particulier de détention fondé sur le danger de collusion (consid. 4). En revanche, il n'y a aucun risque de passage à l'acte au sens de l'art. 221 al. 2 CPP; la possibilité d'ordonner une détention provisoire pour ce motif fait en effet défaut lorsque le risque se rapporte "uniquement" à la commission d'un délit au sens de l'art. 10 al. 3 CP (consid. 5.2 et 5.3). L'interdiction de se rendre dans un certain lieu visée à l'art. 237 al. 2 let. c CPP consiste soit dans l'obligation faite de ne pas quitter un certain territoire soit dans celle de ne pas pénétrer dans une région déterminée (consid. 6.2). L'assignation à un certain territoire se conçoit avant tout en présence d'un risque de fuite. L'interdiction de pénétrer dans un périmètre donné constitue par contre une mesure moins sévère suffisante pour pallier un danger de collusion motivé par l'exercice d'une possible influence sur la victime présumée (consid. 6.4).</w:t>
      </w:r>
    </w:p>
    <w:p>
      <w:r>
        <w:t>Regesto Motivo di carcerazione fondato sul rischio di commissione di un reato (art. 221 cpv. 2 CPP); misura sostitutiva del divieto di trattenersi in un determinato luogo (art. 237 cpv. 2 lett. c CPP). Esistenza nella fattispecie di gravi indizi di reato (consid. 3) e della carcerazione fondata sul pericolo di collusione (consid. 4). Non sussiste per contro un pericolo di commissione di un grave crimine secondo l'art. 221 cpv. 2 CPP; poiché la possibilità di ordinare la carcerazione preventiva decade quando la minaccia si riferisce "soltanto" alla commissione di un delitto ai sensi dell'art. 10 cpv. 3 CP (consid. 5.2 e 5.3). Il divieto di trattenersi in un determinato luogo conformemente all'art. 237 cpv. 2 lett. c CPP consiste o nell'obbligo di non allontanarsi da un determinato luogo o territorio o in quello di non accedervi (consid. 6.2). Il divieto di lasciare un dato luogo o territorio entra in considerazione in primo luogo in presenza del pericolo di fuga. Quando si tratta invece di evitare un pericolo di collusione inerente alla possibilità di influenzare la presunta vittima, è di massima sufficiente, quale misura meno severa, il divieto di accedere a un dato luogo o territorio (consid. 6.4).</w:t>
      </w:r>
    </w:p>
    <w:p>
      <w:pPr>
        <w:pStyle w:val="Heading2"/>
      </w:pPr>
      <w:r>
        <w:t>Erwägungen</w:t>
      </w:r>
    </w:p>
    <w:p>
      <w:r>
        <w:rPr>
          <w:b/>
        </w:rPr>
        <w:t>E. 2</w:t>
      </w:r>
    </w:p>
    <w:p>
      <w:r>
        <w:t>Die Ersatzmassnahmen in Form einer Aufenthaltsbeschränkung, einer Meldepflicht und einem Kontaktverbot gemäss lit. a-c des Entscheids des Haftgerichts III Bern-Mittelland vom 15. März 2010 schränken die persönliche Freiheit des Beschwerdeführers ein (Art. 10 Abs. 2 i.V.m. Art. 31 BV , Art. 5 EMRK ). Eine Einschränkung dieses Grundrechts ist zulässig, wenn sie auf einer gesetzlichen Grundlage beruht, im öffentlichen Interesse liegt und verhältnismässig ist; zudem darf sie den Kerngehalt des Grundrechts nicht beeinträchtigen ( Art. 36 BV ). Nach Art. 221 StPO (SR 312) ist Untersuchungshaft nur zulässig, wenn die beschuldigte Person eines Verbrechens oder Vergehens dringend verdächtig und ernsthaft zu befürchten ist, dass sie sich durch Flucht dem Strafverfahren oder der zu erwartenden Sanktion entzieht (Abs. 1 lit. a); Personen beeinflusst oder auf Beweismittel einwirkt, um so die Wahrheitsfindung zu beeinträchtigen (Abs. 1 lit. b); oder durch schwere Verbrechen oder Vergehen die Sicherheit anderer erheblich gefährdet, nachdem sie bereits früher gleichartige Straftaten verübt hat (Abs. 1 lit. c). Haft ist auch zulässig, wenn ernsthaft zu befürchten ist, eine Person werde ihre Drohung, ein schweres Verbrechen auszuführen, wahrmachen (Abs. 2). Das zuständige Gericht ordnet gemäss Art. 237 Abs. 1 StPO an Stelle der Untersuchungshaft eine oder mehrere mildere Massnahmen an, wenn sie den gleichen Zweck wie die Haft erfüllen. Die Verhängung von Ersatzmassnahmen setzt damit ebenso wie die Anordnung von Untersuchungshaft voraus, dass ein dringender Tatverdacht besteht und ein Haftgrund vorliegt. Bei Beschwerden, die gestützt auf das Recht der persönlichen Freiheit wegen der Anordnung von Untersuchungshaft oder von Ersatzmassnahmen erhoben werden, prüfte das Bundesgericht im Hinblick auf die Schwere des Eingriffs bisher die Auslegung und Anwendung des kantonalen Strafprozessrechts frei. Auch die Bestimmungen der Schweizerischen Strafprozessordnung über die Untersuchungshaft und die Ersatzmassnahmen unterliegen der freien bundesgerichtlichen Prüfung ( Art. 95 lit. a BGG ). Soweit jedoch reine Sachverhaltsfragen und damit Fragen der Beweiswürdigung zu beurteilen sind, greift das Bundesgericht nur ein, wenn die tatsächlichen BGE 137 IV 122 S. 126 Feststellungen der Vorinstanz offensichtlich unrichtig sind oder auf einer Rechtsverletzung im Sinne von Art. 95 BGG beruhen (Art. 97 Abs. 1 i.V.m. Art. 105 Abs. 2 BGG ).</w:t>
      </w:r>
    </w:p>
    <w:p>
      <w:r>
        <w:rPr>
          <w:b/>
        </w:rPr>
        <w:t>E. 3</w:t>
      </w:r>
    </w:p>
    <w:p>
      <w:r>
        <w:t>Die kantonalen Instanzen bejahen den dringenden Tatverdacht und das Weiterbestehen von besonderen Haftgründen in Form von Kollusions- und Ausführungsgefahr in Bezug auf die dem Beschwerdeführer vorgeworfenen Tatbestände der Drohung, der versuchten Nötigung und der Tätlichkeiten. Betreffend die auf die Jahre 2001-2005 zurückgehenden Vorwürfe der mehrfachen schweren Körperverletzung und des Verbreitens menschlicher Krankheiten wurde das Vorliegen von Kollusions- und Ausführungsgefahr hingegen verneint.</w:t>
      </w:r>
    </w:p>
    <w:p>
      <w:r>
        <w:rPr>
          <w:b/>
        </w:rPr>
        <w:t>E. 3.1</w:t>
      </w:r>
    </w:p>
    <w:p>
      <w:r>
        <w:t>Der Beschwerdeführer bestreitet vorab den dringenden Tatverdacht. Er führt unter Bezugnahme auf die bundesgerichtliche Rechtsprechung aus, bei Beginn der Strafuntersuchung seien die Anforderungen an den dringenden Tatverdacht noch geringer. Im Laufe des Strafverfahrens sei ein immer strengerer Massstab an die Erheblichkeit und Konkretheit des Tatverdachts zu stellen. Nach Durchführung der in Betracht kommenden Untersuchungshandlungen müsse eine Verurteilung als wahrscheinlich erscheinen. Diese Voraussetzung sei vorliegend nicht erfüllt. Seit der letzten Einvernahme seiner Ehefrau Anfang März 2010 seien keine weiteren Beweismassnahmen durchgeführt worden, und die Untersuchung könne als abgeschlossen gelten. Im Ergebnis stünden seine Aussagen jenen seiner Ehefrau gegenüber, sodass eine Verurteilung vor dem Hintergrund des Grundsatzes "in dubio pro reo" nicht sehr wahrscheinlich sei.</w:t>
      </w:r>
    </w:p>
    <w:p>
      <w:r>
        <w:rPr>
          <w:b/>
        </w:rPr>
        <w:t>E. 3.2</w:t>
      </w:r>
    </w:p>
    <w:p>
      <w:r>
        <w:t>Das Bundesgericht hat bei der Überprüfung des dringenden Tatverdachts keine erschöpfende Abwägung sämtlicher belastender und entlastender Beweisergebnisse vorzunehmen. Zu prüfen ist vielmehr, ob genügend konkrete Anhaltspunkte für eine Straftat und eine Beteiligung des Beschwerdeführers daran vorliegen, die Untersuchungsbehörden somit das Bestehen eines dringenden Tatverdachts mit vertretbaren Gründen bejahen durften. Im Haftprüfungsverfahren genügt der Nachweis von konkreten Verdachtsmomenten, wonach das inkriminierte Verhalten mit erheblicher Wahrscheinlichkeit die fraglichen Tatbestandsmerkmale erfüllen könnte (vgl. BGE 116 Ia 143 E. 3c S. 146). Das Beschleunigungsgebot in Haftsachen lässt keinen Raum für ausgedehnte Beweismassnahmen. Zur Frage des dringenden Tatverdachts hat das Haftgericht weder ein eigentliches Beweisverfahren durchzuführen noch dem erkennenden Strafgericht BGE 137 IV 122 S. 127 vorzugreifen. Vorbehalten bleibt allenfalls die Abnahme eines liquiden Alibibeweises (vgl. BGE 124 I 208 E. 3 S. 210 mit Hinweisen; Urteil 1B_330/2009 vom 2. Dezember 2009 E. 3).</w:t>
      </w:r>
    </w:p>
    <w:p>
      <w:r>
        <w:rPr>
          <w:b/>
        </w:rPr>
        <w:t>E. 3.3</w:t>
      </w:r>
    </w:p>
    <w:p>
      <w:r>
        <w:t>Der Beschwerdeführer hat die bundesgerichtliche Rechtsprechung korrekt wiedergegeben, wonach nach Durchführung der in Betracht kommenden Untersuchungshandlungen eine Verurteilung als wahrscheinlich erscheinen muss (vgl. Urteil 1B_100/2009 vom 20. März 2009 E. 3.2.2). Der Beschwerdeführer verkennt jedoch, dass "Aussage-gegen-Aussage-Konstellationen", in welchen sich als massgebliche Beweise belastende Aussagen des mutmasslichen Opfers und bestreitende Aussagen der beschuldigten Person gegenüberstehen, keineswegs zwingend oder auch nur höchstwahrscheinlich gestützt auf den Grundsatz "in dubio pro reo" zu einem Freispruch führen müssen. Die einlässliche Würdigung der Aussagen der Beteiligten wird Sache des urteilenden Gerichts sein. Dass die Vorinstanz gestützt auf eine summarische Beweiswürdigung die Aussagen des mutmasslichen Opfers als glaubhafter als jene des Beschwerdeführers eingestuft und gestützt darauf gefolgert hat, eine Verurteilung erscheine wahrscheinlich, verletzt kein Bundesrecht.</w:t>
      </w:r>
    </w:p>
    <w:p>
      <w:r>
        <w:rPr>
          <w:b/>
        </w:rPr>
        <w:t>E. 4.1</w:t>
      </w:r>
    </w:p>
    <w:p>
      <w:r>
        <w:t>Der Beschwerdeführer bestreitet das Vorliegen von Kollusionsgefahr. Zwar sei die richterliche Sachaufklärung im Hinblick auf die beschränkte Unmittelbarkeit der Beweisaufnahme anlässlich der Hauptverhandlung vor unzulässigen Einflussnahmen zu bewahren. Die blosse Wahrscheinlichkeit einer Einvernahme des mutmasslichen Opfers durch das Gericht genüge jedoch zur Begründung von Kollusionsgefahr nicht.</w:t>
      </w:r>
    </w:p>
    <w:p>
      <w:r>
        <w:rPr>
          <w:b/>
        </w:rPr>
        <w:t>E. 4.2</w:t>
      </w:r>
    </w:p>
    <w:p>
      <w:r>
        <w:t>Gemäss Art. 221 Abs. 1 lit. b i.V.m. Art. 237 Abs. 1 StPO ist Untersuchungshaft respektive die Anordnung von Ersatzmassnahmen zulässig, wenn ernsthaft zu befürchten ist, die beschuldigte Person könnte Personen beeinflussen oder auf Beweismittel einwirken, um so die Wahrheitsfindung zu beeinträchtigen. Die strafprozessuale Haft wegen Kollusionsgefahr soll verhindern, dass die beschuldigte Person die Freiheit dazu missbrauchen würde, die wahrheitsgetreue Abklärung des Sachverhalts zu vereiteln oder zu gefährden. Konkrete Anhaltspunkte für Kollusionsgefahr können sich nach der Rechtsprechung des Bundesgerichts namentlich ergeben aus dem bisherigen Verhalten des Beschuldigten im Strafprozess, aus seinen persönlichen Merkmalen, aus seiner BGE 137 IV 122 S. 128 Stellung und seinen Tatbeiträgen im Rahmen des untersuchten Sachverhaltes sowie aus den persönlichen Beziehungen zwischen ihm und den ihn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Nach Abschluss der Strafuntersuchung bedarf der Haftgrund der Kollusionsgefahr einer besonders sorgfältigen Prüfung ( BGE 132 I 21 E. 3.2 S. 23).</w:t>
      </w:r>
    </w:p>
    <w:p>
      <w:r>
        <w:rPr>
          <w:b/>
        </w:rPr>
        <w:t>E. 4.3</w:t>
      </w:r>
    </w:p>
    <w:p>
      <w:r>
        <w:t>Die dem Beschwerdeführer vorgeworfenen Delikte der Drohung, der versuchten Nötigung und der wiederholten Tätlichkeiten richten sich gegen seine Ehefrau, und der Tatvorwurf stützt sich weitgehend auf ihre Aussagen. Es besteht damit ein gewichtiges Interesse, Einflussnahmen auf die Ehefrau zu verhindern, da ihre Aussagen für den Ausgang des Verfahrens entscheidend sind. Sie hat bei der Polizei und der Staatsanwaltschaft ausgesagt. Es erscheint jedoch wahrscheinlich, dass sie in der Hauptverhandlung erneut einvernommen wird, denn gemäss Art. 343 Abs. 3 StPO erhebt das Gericht im Vorverfahren ordnungsgemäss erhobene Beweise nochmals, sofern die unmittelbare Kenntnis des Beweismittels für die Urteilsfällung notwendig erscheint. Vorliegend bestehen konkrete Hinweise darauf, dass der Beschwerdeführer bei einer Aufhebung sämtlicher Ersatzmassnahmen seine Ehefrau beeinflussen würde, um sie zu einem Widerruf oder zur Abschwächung ihrer belastenden Aussagen zu veranlassen (vgl. hierzu auch Urteil 1B_415/2010 vom 23. Dezember 2010 E. 3.5). So wurde im forensisch-psychiatrischen Gutachten vom 13. Dezember 2010, auf welches die Vorinstanz in ihrer Begründung Bezug genommen hat, namentlich ausgeführt: "Die Wahrscheinlichkeit, dass X. seine Beziehungen auch in Zukunft in dieser, das Gegenüber tendenziell ausbeutenden Art und Weise konstelliert, ist hoch." Vor diesem Hintergrund ist die Einschätzung der Vorinstanz, der Beschwerdeführer könnte versucht sein, auf seine Ehefrau Einfluss zu nehmen, nicht zu beanstanden, zumal der Beschwerdeführer gemäss den Feststellungen im angefochtenen Beschluss, sich wiederholt über die angeordnete Kontaktsperre hinweggesetzt und seine Ehefrau kontaktiert bzw. zu kontaktieren versucht hat. An dieser Bewertung ändert entgegen der Auffassung des Beschwerdeführers nichts BGE 137 IV 122 S. 129 Entscheidendes, dass er keine Vorstrafen aufweist und seine Ehefrau in der Zwischenzeit nach Lausanne gezogen ist.</w:t>
      </w:r>
    </w:p>
    <w:p>
      <w:r>
        <w:rPr>
          <w:b/>
        </w:rPr>
        <w:t>E. 5</w:t>
      </w:r>
    </w:p>
    <w:p>
      <w:r>
        <w:t>Wie dargelegt (E. 4 hiervor), ist der Haftgrund der Kollusionsgefahr im Sinne von Art. 221 Abs. 1 lit. b StPO zu bejahen. Damit sind die Voraussetzungen für die Anordnung von Ersatzmassnahmen erfüllt. Die Frage, ob zusätzlich der Haftgrund der Ausführungsgefahr gemäss Art. 221 Abs. 2 StPO gegeben ist, wird dennoch behandelt. Läge nämlich auch dieser zweite Haftgrund vor - was im Folgenden verneint wird -, so hätte dies Auswirkungen auf die Beurteilung der Verhältnismässigkeit von Ersatzmassnahmen.</w:t>
      </w:r>
    </w:p>
    <w:p>
      <w:r>
        <w:rPr>
          <w:b/>
        </w:rPr>
        <w:t>E. 5.1</w:t>
      </w:r>
    </w:p>
    <w:p>
      <w:r>
        <w:t>Der Beschwerdeführer bringt vor, die Vorinstanz habe den Haftgrund der Ausführungsgefahr zu Unrecht bejaht. Er habe keine konkreten Anstalten getroffen, welche eine aktuelle Ausführungsgefahr begründen könnten. Vielmehr akzeptiere er die von seiner Ehefrau gewünschte Distanz und halte diese auch ein. Dass ihn seine Ehefrau subjektiv als Gefahr wahrnehme, bedeute nicht automatisch, dass auch objektiv eine Ausführungsgefahr bestehe. Ebenso wenig liessen die Feststellungen im forensisch-psychiatrischen Gutachten vom 13. Dezember 2010 einen solchen Schluss zu.</w:t>
      </w:r>
    </w:p>
    <w:p>
      <w:r>
        <w:rPr>
          <w:b/>
        </w:rPr>
        <w:t>E. 5.2</w:t>
      </w:r>
    </w:p>
    <w:p>
      <w:r>
        <w:t>Ausführungsgefahr im Sinne von Art. 221 Abs. 2 StPO besteht, wenn ernsthaft zu befürchten ist, eine Person werde ihre Drohung, ein schweres Verbrechen auszuführen, wahrmachen. Die Notwendigkeit, Personen an der Begehung strafbarer Handlungen zu hindern, wird in Art. 5 Ziff. 1 lit. c EMRK ausdrücklich als Haftgrund anerkannt ( BGE 133 I 270 E. 2.1 S. 275). Die rein hypothetische Möglichkeit der Verübung von Delikten sowie die Wahrscheinlichkeit, dass nur geringfügige Straftaten verübt werden, reichen allerdings nicht aus, um eine Präventivhaft zu begründen ( BGE 125 I 60 E. 3a S. 62 mit Hinweis). Bei der Annahme, dass die beschuldigte Person eine schwere Straftat begehen könnte, ist nach der bundesgerichtlichen Rechtsprechung Zurückhaltung geboten. Erforderlich ist eine sehr ungünstige Rückfallprognose. Nicht Voraussetzung ist hingegen, dass die verdächtige Person bereits konkrete Anstalten getroffen hat, um die befürchtete Tat zu vollenden. Vielmehr genügt es, wenn die Wahrscheinlichkeit einer Ausführung aufgrund einer Gesamtbewertung der persönlichen Verhältnisse sowie der Umstände als sehr hoch erscheint ( BGE 125 I 361 E. 5 S. 366 f.). Besonders bei drohenden schweren Gewaltverbrechen ist dabei auch dem psychischen Zustand der verdächtigen Person bzw. ihrer BGE 137 IV 122 S. 130 Unberechenbarkeit oder Aggressivität Rechnung zu tragen (vgl. BGE 123 I 268 E. 2e S. 271 f.). An dieser bisherigen Rechtsprechung ist grundsätzlich auch nach Inkrafttreten der StPO festzuhalten, wobei nunmehr Art. 221 Abs. 2 StPO ausdrücklich verlangt, dass die Verwirklichung eines "schweren Verbrechens" drohen muss. Art. 10 Abs. 2 StGB enthält allerdings kein klares Abgrenzungskriterium für "schwere" und "minder schwere" Verbrechen (vgl. zum Ganzen MARC FORSTER, in: Basler Kommentar, Schweizerische Strafprozessordnung, 2011, N. 18 zu Art. 221 StPO ). Jedenfalls aber entfällt die Möglichkeit der Anordnung von Präventivhaft, wenn sich die Drohung auf die Ausführung eines Vergehens im Sinne von Art. 10 Abs. 3 StGB bezieht.</w:t>
      </w:r>
    </w:p>
    <w:p>
      <w:r>
        <w:rPr>
          <w:b/>
        </w:rPr>
        <w:t>E. 5.3</w:t>
      </w:r>
    </w:p>
    <w:p>
      <w:r>
        <w:t>Die Vorinstanz hat zur Begründung auf das forensisch-psychiatrische Gutachten vom 13. Dezember 2010 verwiesen, wo unter dem Titel "Risikoeinschätzung" Folgendes festgehalten wurde (vgl. auch E. 4.3 hiervor): "Das Risiko, dass es in solchen Beziehungen auch zu strafrechtlich relevanten Verhaltensweisen kommt (z.B. Drohung, Nötigung, finanzielle Schädigung oder andere Taten wie die, die aktuell zur Last gelegt werden), die letztlich dem Ziel dienen, das Gegenüber zu beherrschen, ist ebenfalls erhöht." Die Frage "Welche Straftaten sind mit welcher Wahrscheinlichkeit zu erwarten" beantwortete die Gutachterin wie folgt: "Ausgehend von der Persönlichkeit des Exploranden sind mit erhöhter Wahrscheinlichkeit Straftaten denkbar, die darauf abzielen, über andere Menschen Macht und Kontrolle zu erlangen." Die Vorinstanz hat gefolgert, zum jetzigen Zeitpunkt dürfe und müsse sich die Abschätzung der Ausführungsgefahr an diesem psychiatrischen Gutachten orientieren und gestützt darauf sei die Ausführungsgefahr im Sinne von Art. 221 Abs. 2 StPO zu bejahen. Diese Argumentation ist nicht stichhaltig. Nach der Einschätzung der Gutachterin, welche die Vorinstanz in ihrer Begründung übernommen hat, besteht ein erhöhtes Risiko, dass der Beschwerdeführer die Tatbestände der Drohung ( Art. 180 StGB ) und der Nötigung ( Art. 181 StGB ) ausführen könnte. Diese beiden Tatbestände sind mit Freiheitsstrafe bis zu drei Jahren oder Geldstrafe bedroht und stellen damit blosse Vergehen dar. Konkrete Hinweise auf drohende (Gewalt-)Verbrechen finden sich demgegenüber im Gutachten nicht, und auch die Begründung der Vorinstanz enthält keine Erwägungen hierzu. Dementsprechend ist die Bejahung des Haftgrunds der Ausführungsgefahr nicht haltbar. BGE 137 IV 122 S. 131</w:t>
      </w:r>
    </w:p>
    <w:p>
      <w:r>
        <w:rPr>
          <w:b/>
        </w:rPr>
        <w:t>E. 6.1</w:t>
      </w:r>
    </w:p>
    <w:p>
      <w:r>
        <w:t>Der Beschwerdeführer erachtet die angeordneten Ersatzmassnahmen als unverhältnismässig. Die seit dem Entscheid des Haftgerichts III Bern-Mittelland vom 15. März 2010 andauernden Auflagen, den Kanton Bern nicht zu verlassen und sich täglich bei der Kantonspolizei zu melden, bedeuteten erhebliche Eingriffe in seine persönliche Freiheit. Diese Eingriffe gingen in sachlicher, räumlicher und zeitlicher Hinsicht über das Notwendige hinaus. Ziel der Ersatzmassnahmen sei, ihn von seiner Ehefrau fernzuhalten, damit er diese nicht beeinflussen oder bedrängen könne. Weshalb dafür neben einer Kontaktsperre zusätzlich eine sehr rigide Aufenthaltsbeschränkung und eine tägliche Meldepflicht erforderlich seien, sei nicht ersichtlich und werde von der Vorinstanz in Verletzung der Begründungspflicht und damit in Missachtung seines Anspruchs auf rechtliches Gehör auch nicht dargelegt.</w:t>
      </w:r>
    </w:p>
    <w:p>
      <w:r>
        <w:rPr>
          <w:b/>
        </w:rPr>
        <w:t>E. 6.2</w:t>
      </w:r>
    </w:p>
    <w:p>
      <w:r>
        <w:t>Nach Art. 237 Abs. 1 StPO ordnet das zuständige Gericht an Stelle der Untersuchungs- oder der Sicherheitshaft eine oder mehrere mildere Massnahmen an, wenn sie den gleichen Zweck wie die Haft erfüllen. Als Ersatzmassnahmen kommen gemäss Art. 237 Abs. 2 StPO namentlich in Frage: a. die Sicherheitsleistung; b. die Ausweis- und Schriftensperre; c. die Auflage, sich nur oder sich nicht an einem bestimmten Ort oder in einem bestimmten Haus aufzuhalten; d. die Auflage, sich regelmässig bei einer Amtsstelle zu melden; e. die Auflage, einer geregelten Arbeit nachzugehen; f. die Auflage, sich einer ärztlichen Behandlung oder einer Kontrolle zu unterziehen; g. das Verbot, mit bestimmten Personen Kontakte zu pflegen. Die Strafprozessordnung sieht damit die vorliegend ausgesprochenen Ersatzmassnahmen der Aufenthaltsbeschränkung ( Art. 237 Abs. 2 lit. c StPO ), der Meldepflicht ( Art. 237 Abs. 2 lit. d StPO ) und des Kontaktverbots ( Art. 237 Abs. 2 lit. g StPO ) ausdrücklich vor. Die Aufenthaltsbeschränkung gemäss Art. 237 Abs. 2 lit. c StPO besteht entweder in der Verpflichtung, ein bestimmtes Gebiet nicht zu verlassen (Eingrenzung), oder in jener, eine bestimmte Gegend nicht zu betreten (Ausgrenzung). Die Weisung kann mithin ein Aufenthaltsgebot oder ein Aufenthaltsverbot zum Gegenstand haben. Letzterem kommt insbesondere bei häuslicher Gewalt Bedeutung zu. So kann etwa ein Ehemann, der seine Ehefrau massiv bedroht und schlägt, aus der ehelichen Wohnung gewiesen und ihm verboten werden, diese zu betreten bzw. sich ihr auch nur zu nähern (MATTHIAS HÄRRI, in: Basler Kommentar, Schweizerische Strafprozessordnung, 2011, N. 11 zu Art. 237 StPO ). Eine Ausgrenzung kann zur BGE 137 IV 122 S. 132 Herabsetzung von Kollusionsgefahr verhängt werden, namentlich um zu vereiteln, dass der Ehemann die ihn belastende Ehefrau zu beeinflussen versucht. Eingrenzungen fallen demgegenüber vor allem zur Bannung von Fluchtgefahr in Betracht. Gleiches gilt für die Auferlegung einer Meldepflicht nach Art. 237 Abs. 2 lit. d StPO , da hierdurch eine allfällige Flucht zumindest relativ rasch entdeckt würde (SYLVA FISNAR, Ersatzanordnungen für Untersuchungshaft und Sicherheitshaft im zürcherischen Strafprozess, 1997, S. 69). Ein Kontaktverbot gemäss Art. 237 Abs. 2 lit. g StPO schliesslich stellt ebenfalls eine bei Vorliegen von Kollusionsgefahr denkbare Massnahme dar.</w:t>
      </w:r>
    </w:p>
    <w:p>
      <w:r>
        <w:rPr>
          <w:b/>
        </w:rPr>
        <w:t>E. 6.3</w:t>
      </w:r>
    </w:p>
    <w:p>
      <w:r>
        <w:t>Die Vorinstanz hat ausgeführt, es sei nicht zu beanstanden, dass das Kantonale Zwangsmassnahmengericht die Aufenthaltsbeschränkung, die Meldepflicht und das Kontaktverbot dahingehend gelockert habe, dass der Beschwerdeführer sein Besuchsrecht gemäss der Vereinbarung vom 27. Oktober/11. November 2010 in Lausanne ausüben könne. Darüber hinaus seien die im Entscheid des Haftgerichts III Bern-Mittelland vom 15. März 2010 angeordneten Ersatzmassnahmen gemäss lit. d und e - Wiederaufnahme einer engmaschigen medizinisch-psychotherapeutischen Betreuung und die Verpflichtung, den Weisungen und Anordnungen der Spezialisten Folge zu leisten - seit dem Vorliegen des psychiatrischen Gutachtens nicht mehr sinnvoll und daher aufzuheben. Die Vorinstanz hat nicht begründet, weshalb eine weiter gehende Lockerung oder Aufhebung der Aufenthaltsbeschränkung und der Meldepflicht nicht in Frage kommt. Der Beschwerdeführer hat daher die Rüge der Verletzung der Begründungspflicht zu Recht erhoben. Zu prüfen bleibt, ob seine Einwände auch inhaltlich stichhaltig sind. Es fragt sich mithin, ob die Aufenthaltsbeschränkung in Form der Eingrenzung auf das Gebiet des Kantons Bern und die Verpflichtung, sich täglich bei der Kantonspolizei Bern zu melden, geeignet, erforderlich und verhältnismässig im engeren Sinn sind, um der bestehenden Kollusionsgefahr (Gefahr der Beeinflussung der Ehefrau) zu begegnen. Vom Beschwerdeführer nicht beanstandet wird das angeordnete Kontaktverbot.</w:t>
      </w:r>
    </w:p>
    <w:p>
      <w:r>
        <w:rPr>
          <w:b/>
        </w:rPr>
        <w:t>E. 6.4</w:t>
      </w:r>
    </w:p>
    <w:p>
      <w:r>
        <w:t>Eine Eingrenzung auf ein bestimmtes Gebiet kommt, wie dargelegt (vgl. E. 6.2 hiervor), primär bei Fluchtgefahr in Betracht. Geht es demgegenüber darum, einer Kollusionsgefahr in Form der möglichen Beeinflussung des mutmasslichen Opfers zu begegnen, dürfte in aller Regel eine Ausgrenzung als mildere Massnahme genügen. Dies ist auch vorliegend der Fall. Die Verpflichtung, den BGE 137 IV 122 S. 133 Kanton Bern nicht zu verlassen, schränkt den Beschwerdeführer in seiner persönlichen Freiheit stark ein. Das Ziel, zu verhindern, dass er seine Ehefrau aufsucht oder sich auch nur in deren Nähe begibt, kann ebenso durch die weniger einschneidende Massnahme der Ausgrenzung in Form der Auflage, den Wohnkanton seiner Ehefrau ausserhalb der festgelegten Besuchszeiten für seine Tochter nicht zu betreten, erreicht werden. Als Zwischenfazit ist festzuhalten, dass die Eingrenzung des Beschwerdeführers auf das Gebiet des Kantons Bern nicht verhältnismässig ist. Als Massnahme gegen mögliche Kollusionshandlungen ist eine Ausgrenzung, das heisst ein Verbot, den Kanton Waadt zu betreten, ausreichend. Die Ersatzmassnahme der Meldepflicht wird ebenfalls vor allem zur Herabsetzung von Fluchtgefahr angeordnet. Bei Kollusionsgefahr erscheint es hingegen fraglich, ob eine Meldepflicht überhaupt eine taugliche Massnahme darstellt. Die nunmehr seit über einem Jahr andauernde tägliche Meldepflicht ist aber jedenfalls als unverhältnismässig einzustufen. Mit der Pflicht, sich täglich zwischen 10.00 und 13.00 Uhr persönlich oder telefonisch von seinem Festanschluss in der Wohnung in Bern aus bei der Kantonspolizei zu melden, wird der Beschwerdeführer in seiner Bewegungsfreiheit erheblich eingeschränkt, ohne dass hierdurch Kollusionshandlungen wirkungsvoll verhindert werden könnten.</w:t>
      </w:r>
    </w:p>
    <w:p>
      <w:r>
        <w:rPr>
          <w:b/>
        </w:rPr>
        <w:t>E. 6.5</w:t>
      </w:r>
    </w:p>
    <w:p>
      <w:r>
        <w:t>Zusammenfassend sind somit die Eingrenzung auf den Kanton Bern und die tägliche Meldepflicht aufzuheben, da das verhängte Kontaktverbot und die Ausgrenzung vom Kanton Waadt als mildere Massnahmen zur Herabsetzung der Kollusionsgefahr ausreichen.</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