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85</w:t>
      </w:r>
    </w:p>
    <w:p>
      <w:r>
        <w:t>Bundesgericht (BGE), 2011-01-07, FR</w:t>
      </w:r>
    </w:p>
    <w:p>
      <w:r>
        <w:rPr>
          <w:b/>
        </w:rPr>
        <w:t xml:space="preserve">Quelle: </w:t>
      </w:r>
      <w:r>
        <w:t>https://mcp.opencaselaw.ch/entscheid/bge_BGE_137_III_85</w:t>
      </w:r>
    </w:p>
    <w:p>
      <w:r>
        <w:t>FR: ATF 137 III 85</w:t>
      </w:r>
    </w:p>
    <w:p>
      <w:r>
        <w:t>IT: DTF 137 III 85</w:t>
      </w:r>
    </w:p>
    <w:p>
      <w:pPr>
        <w:pStyle w:val="Heading2"/>
      </w:pPr>
      <w:r>
        <w:t>Regeste</w:t>
      </w:r>
    </w:p>
    <w:p>
      <w:r>
        <w:t>Regeste Internationale Schiedsgerichtsbarkeit; Zulässigkeit der Beschwerde in Zivilsachen gegen die Weigerung des Schiedsgerichts, einen ergänzenden Schiedsentscheid zu erlassen. Die Weigerung des Schiedsgerichts, einen ergänzenden Schiedsentscheid zu erlassen, hat in der Form eines beschwerdefähigen Entscheids zu ergehen. Verhältnis zwischen der Beschwerde gegen den ursprünglichen Entscheid und dem Gesuch um Erlass eines ergänzenden Entscheids (E. 1.2).</w:t>
      </w:r>
    </w:p>
    <w:p>
      <w:r>
        <w:t>Regeste Arbitrage international; recevabilité du recours en matière civile contre le refus de rendre une sentence additionnelle. Le refus du tribunal arbitral de rendre une sentence additionnelle doit revêtir la forme d'une sentence susceptible de recours. Rapports existant entre le recours dirigé contre la sentence d'origine et la demande tendant au prononcé d'une sentence additionnelle (consid. 1.2).</w:t>
      </w:r>
    </w:p>
    <w:p>
      <w:r>
        <w:t>Regesto Arbitrato internazionale; ammissibilità del ricorso in materia civile contro il rifiuto di pronunciare una sentenza aggiuntiva. Il rifiuto del tribunale arbitrale di emanare una sentenza aggiuntiva deve rivestire la forma di una decisione suscettiva di ricorso. Rapporto fra il ricorso diretto contro la sentenza originaria e la domanda tendente alla pronuncia di una sentenza aggiuntiva (consid. 1.2).</w:t>
      </w:r>
    </w:p>
    <w:p>
      <w:pPr>
        <w:pStyle w:val="Heading2"/>
      </w:pPr>
      <w:r>
        <w:t>Erwägungen</w:t>
      </w:r>
    </w:p>
    <w:p>
      <w:r>
        <w:rPr>
          <w:b/>
        </w:rPr>
        <w:t>E. 1.2</w:t>
      </w:r>
    </w:p>
    <w:p>
      <w:r>
        <w:t>Le recours porte sur trois objets distincts: la sentence finale du 17 juin 2010, le mémorandum rectificatif du 9 juillet 2010 et la décision du 4 août 2010 sur demande de sentence additionnelle. La recevabilité du recours ne fait pas problème, dans la mesure où celui-ci est dirigé contre la sentence finale ( ATF 136 III 200 consid. 2.3.1 p. 203) et contre la sentence rectificative ( ATF 131 III 164 consid. 1.2). Bien que cela n'aille pas de soi, elle doit aussi être admise en tant que le recours vise la décision par laquelle l'arbitre unique a refusé de donner suite à la demande de sentence additionnelle que la recourante lui avait soumise sur la base de l' art. 59 let . c du Règlement. A cet égard, il sied d'appliquer, mutatis mutandis , aux sentences additionnelles les principes jurisprudentiels régissant les sentences rectificatives (BERGER/KELLERHALS, International and Domestic Arbitration in Switzerland, 2 e éd. 2010, n° 1418). Or, le Tribunal fédéral a une conception large de la sentence rectificative, qu'il définit comme une sentence rendue à la suite d'une demande en rectification ou d'office, "quelle que soit la décision prise dans cette sentence" ( ATF 131 III 164 consid. 1.2.3 p. 169). Les auteurs qui se sont penchés sur la question ont déduit, à juste titre, de cette définition qu'une décision du tribunal arbitral refusant une rectification doit être rendue sous la forme d'une sentence susceptible de recours (LAURENT HIRSCH, Recours contre une sentence rectificative en matière d'arbitrage international, Jusletter du 22 août 2005 n os 57 à 62; BERGER/KELLERHALS, op. cit., n° 1411). Il doit en aller de même en ce qui concerne le rejet d'une demande tendant au prononcé d'une sentence additionnelle. Pour le reste, et dans le droit fil de ce qui a été admis relativement aux sentences rectificatives, il BGE 137 III 85 S. 87 convient de poser, ici aussi, que la procédure visant à obtenir une sentence additionnelle et la procédure de recours contre la sentence finale ne doivent pas interférer. Ainsi, le dépôt d'une demande de sentence additionnelle ne suspendra pas le délai pour recourir contre la sentence initiale. De même, le droit d'attaquer celle-ci ne devrait pas être subordonné à l'introduction préalable d'une telle demande ( ATF 131 III 164 consid. 1.2.4). Inversement, la possibilité d'interjeter un recours contre la sentence au motif que le tribunal arbitral a omis de se prononcer sur un des chefs de la demande ( art. 190 al. 2 let . c, seconde hypothèse, LDIP) ne doit pas empêcher la partie de s'adresser au tribunal arbitral afin qu'il prononce une sentence additionnelle qui pourrait rendre le recours sans objet; il conviendra toutefois, en pareille hypothèse, de suspendre la procédure de recours jusqu'à droit jugé sur la demande tendant à ce que le tribunal rende une sentence additionnelle (POUDRET/BESSON, Comparative law of international arbitration, 2 e éd. 2007, n° 765 p. 696; BERGER/KELLERHALS, op. cit., n° 1419).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