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623</w:t>
      </w:r>
    </w:p>
    <w:p>
      <w:r>
        <w:t>Bundesgericht (BGE), 2011-12-13, FR</w:t>
      </w:r>
    </w:p>
    <w:p>
      <w:r>
        <w:rPr>
          <w:b/>
        </w:rPr>
        <w:t xml:space="preserve">Quelle: </w:t>
      </w:r>
      <w:r>
        <w:t>https://mcp.opencaselaw.ch/entscheid/bge_BGE_137_III_623</w:t>
      </w:r>
    </w:p>
    <w:p>
      <w:r>
        <w:t>FR: ATF 137 III 623</w:t>
      </w:r>
    </w:p>
    <w:p>
      <w:r>
        <w:t>IT: DTF 137 III 623</w:t>
      </w:r>
    </w:p>
    <w:p>
      <w:pPr>
        <w:pStyle w:val="Heading2"/>
      </w:pPr>
      <w:r>
        <w:t>Regeste</w:t>
      </w:r>
    </w:p>
    <w:p>
      <w:r>
        <w:t>Regeste Umrechnung in gesetzliche Schweizerwährung für eine in ausländischer Währung festgelegte Forderung (Art. 67 Abs. 1 Ziff. 3 SchKG). Die Umrechnung in gesetzliche Schweizerwährung zum Kurs des Devisenangebots am Tag des Betreibungsbegehrens ist eine Regel des Ordre public; es besteht kein Raum für eine einzig im Interesse des Betreibungsgläubigers stehende Wahl zwischen dem Kurs im Zeitpunkt des Betreibungsbegehrens und dem Kurs bei Fälligkeit der Forderung (Präzisierung der Rechtsprechung; E. 3).</w:t>
      </w:r>
    </w:p>
    <w:p>
      <w:r>
        <w:t>Regeste Conversion en valeur légale suisse d'une créance stipulée en monnaie étrangère (art. 67 al. 1 ch. 3 LP). La conversion en valeur légale suisse, au cours de l'offre des devises du jour de la réquisition de poursuite, étant une règle d'ordre public, il n'y a pas de place pour un choix, servant uniquement les intérêts du poursuivant, entre le cours au moment de la réquisition de poursuite et le cours à l'échéance de sa prétention (précision de la jurisprudence; consid. 3).</w:t>
      </w:r>
    </w:p>
    <w:p>
      <w:r>
        <w:t>Regesto Conversione in valuta legale svizzera di un credito stipulato in moneta straniera (art. 67 cpv. 1 n. 3 LEF). Atteso che la conversione in valuta legale svizzera al corso dell'offerta delle divise del giorno della domanda d'esecuzione è una regola di ordine pubblico non vi è spazio per una scelta, che serve unicamente gli interessi del procedente, tra il corso al momento della domanda d'esecuzione ed il corso alla scadenza della pretesa (precisazione della giurisprudenza; consid. 3).</w:t>
      </w:r>
    </w:p>
    <w:p>
      <w:pPr>
        <w:pStyle w:val="Heading2"/>
      </w:pPr>
      <w:r>
        <w:t>Erwägungen</w:t>
      </w:r>
    </w:p>
    <w:p>
      <w:r>
        <w:rPr>
          <w:b/>
        </w:rPr>
        <w:t>E. 3</w:t>
      </w:r>
    </w:p>
    <w:p>
      <w:r>
        <w:t>A teneur de l' art. 67 al. 1 ch. 3 LP ,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La conversion se fait néanmoins au cours de l'offre des devises du jour de la réquisition de poursuite ( ATF 135 III 88 consid. 4.1 et les références citées). Du moment que la conversion en valeur légale suisse est tenue pour une règle d'ordre public, il n'y a pas de place pour un choix, servant uniquement les intérêts du poursuivant, entre le cours au moment de la réquisition de BGE 137 III 623 S. 625 poursuite et le cours à l'échéance de sa prétention, l' art. 84 al. 2 CO ne s'appliquant pas (GILLIÉRON, Commentaire de la loi fédérale sur la poursuite pour dettes et la faillite, vol. I, 1999, n° 60 ad art. 67 LP ). C'est donc à juste titre que le recourant soutient qu'en convertissant le montant de la créance de 59'996 GBP 30 (moitié de 119'992 GBP 60) au 26 novembre 2007, date d'entrée en force du jugement de divorce, et non au 11 février 2010, date de la réquisition de poursuite en cause, la cour cantonale a violé le droit fédéral. Le taux de conversion des monnaies est un fait notoire, qui ne doit être ni allégué ni prouvé. Il peut notamment être contrôlé par chacun sur internet, qui permet d'accéder rapidement au taux de conversion en vigueur à une date donnée. Ainsi, selon le site http://www.fxtop.com , qui donne les taux officiels diffusés par la Banque centrale européenne (cf. ATF 135 III 88 consid. 4.1 in fine), le cours de la livre britannique par rapport au franc suisse était, au 11 février 2010, date de la réquisition de poursuite en cause, de 1,670997, et 59'996 GBP 30 équivalaient alors à 100'253 fr. 65. Ces valeurs de conversion alléguées par le recourant ne sont d'ailleurs contestées ni par la cour cantonale ni par l'intimée. L'arrêt attaqué doit en conséquence être réformé dans ce sens que la mainlevée définitive de l'opposition est prononcée à concurrence d'un montant de 154'753 fr. 65 (70'000 + 100'253.65 - 15'500).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