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604</w:t>
      </w:r>
    </w:p>
    <w:p>
      <w:r>
        <w:t>Bundesgericht (BGE), 2011-09-26, FR</w:t>
      </w:r>
    </w:p>
    <w:p>
      <w:r>
        <w:rPr>
          <w:b/>
        </w:rPr>
        <w:t xml:space="preserve">Quelle: </w:t>
      </w:r>
      <w:r>
        <w:t>https://mcp.opencaselaw.ch/entscheid/bge_BGE_137_III_604</w:t>
      </w:r>
    </w:p>
    <w:p>
      <w:r>
        <w:t>FR: ATF 137 III 604</w:t>
      </w:r>
    </w:p>
    <w:p>
      <w:r>
        <w:t>IT: DTF 137 III 604</w:t>
      </w:r>
    </w:p>
    <w:p>
      <w:pPr>
        <w:pStyle w:val="Heading2"/>
      </w:pPr>
      <w:r>
        <w:t>Regeste</w:t>
      </w:r>
    </w:p>
    <w:p>
      <w:r>
        <w:t>Regeste Art. 286 Abs. 2 ZGB; Abänderung des Kindesunterhaltsbeitrags. Der Eintritt einer neuen, erheblichen und dauerhaften Tatsache führt nicht automatisch zu einer Abänderung des Kindesunterhaltsbeitrags. Das Gericht muss noch die jeweiligen Interessen des Kindes und von jedem Elternteil abwägen, um über die Notwendigkeit einer Abänderung dieses Beitrags im konkreten Fall zu urteilen (E. 4.1.1). Erachtet das Gericht die Voraussetzungen von Art. 286 Abs. 2 ZGB als erfüllt, muss es den Unterhaltsbeitrag erneut festlegen, nachdem es alle Elemente aktualisiert hat, die im vorangegangenen Urteil bei der Berechnung berücksichtigt worden waren (E. 4.1.2).</w:t>
      </w:r>
    </w:p>
    <w:p>
      <w:r>
        <w:t>Regeste Art. 286 al. 2 CC; modification de la contribution d'entretien en faveur d'un enfant. La survenance d'un fait nouveau - important et durable - n'entraîne pas automatiquement une modification de la contribution d'entretien de l'enfant. Le juge doit encore procéder à une pesée des intérêts respectifs de l'enfant et de chacun des parents pour juger de la nécessité de modifier cette contribution dans le cas concret (consid. 4.1.1). Lorsqu'il admet que les conditions de l'art. 286 al. 2 CC sont remplies, le juge doit fixer à nouveau la contribution d'entretien, après avoir actualisé tous les éléments pris en compte pour le calcul dans le jugement précédent (consid. 4.1.2).</w:t>
      </w:r>
    </w:p>
    <w:p>
      <w:r>
        <w:t>Regesto Art. 286 cpv. 2 CC; modifica del contributo per il mantenimento di un figlio. La sopravvenienza di un fatto nuovo - notevole e durevole - non conduce automaticamente ad una modifica del contributo per il mantenimento del figlio. Per giudicare la necessità di modificare tale contributo nel caso concreto, il giudice deve ancora procedere ad una ponderazione degli interessi rispettivi del figlio e di ciascun genitore (consid. 4.1.1). Qualora consideri che le condizioni dell'art. 286 cpv. 2 CC siano adempiute, il giudice deve fissare di nuovo il contributo per il mantenimento, dopo aver attualizzato tutti gli elementi presi in considerazione per il calcolo nel giudizio precedente (consid. 4.1.2).</w:t>
      </w:r>
    </w:p>
    <w:p>
      <w:pPr>
        <w:pStyle w:val="Heading2"/>
      </w:pPr>
      <w:r>
        <w:t>Erwägungen</w:t>
      </w:r>
    </w:p>
    <w:p>
      <w:r>
        <w:rPr>
          <w:b/>
        </w:rPr>
        <w:t>E. 4</w:t>
      </w:r>
    </w:p>
    <w:p>
      <w:r>
        <w:t>Dans un premier grief, le recourant reproche à la cour cantonale d'avoir violé l' art. 286 al. 2 CC , en retenant que la modification de BGE 137 III 604 S. 606 la situation financière du débirentier, qui fait valoir qu'il ne peut plus réaliser un revenu hypothétique de 5'000 fr., constitue un fait nouveau. En revanche, le recourant ne conteste pas que la naissance des deux dernières filles de l'intimé constitue un fait nouveau.</w:t>
      </w:r>
    </w:p>
    <w:p>
      <w:r>
        <w:rPr>
          <w:b/>
        </w:rPr>
        <w:t>E. 4.1</w:t>
      </w:r>
    </w:p>
    <w:p>
      <w:r>
        <w:t>Aux termes de l' art. 286 al. 2 CC , si la situation change notablement, le juge modifie ou supprime la contribution d'entretien à la demande du père, de la mère ou de l'enfant.</w:t>
      </w:r>
    </w:p>
    <w:p>
      <w:r>
        <w:rPr>
          <w:b/>
        </w:rPr>
        <w:t>E. 4.1.1</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 ATF 131 III 189 consid. 2.7.4; ATF 120 II 177 consid. 3a, ATF 120 II 285 consid. 4b). Le moment déterminant pour apprécier si des circonstances nouvelles se sont produites est la date du dépôt de la demande de modification (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w:t>
      </w:r>
    </w:p>
    <w:p>
      <w:r>
        <w:rPr>
          <w:b/>
        </w:rPr>
        <w:t>E. 4.1.2</w:t>
      </w:r>
    </w:p>
    <w:p>
      <w:r>
        <w:t>Lorsqu'il admet que les conditions susmentionnées sont remplies, le juge doit alors fixer à nouveau la contribution d'entretien, après avoir actualisé tous les éléments pris en compte pour le calcul dans le jugement précédent.</w:t>
      </w:r>
    </w:p>
    <w:p>
      <w:r>
        <w:rPr>
          <w:b/>
        </w:rPr>
        <w:t>E. 4.2</w:t>
      </w:r>
    </w:p>
    <w:p>
      <w:r>
        <w:t>En l'espèce, il est incontesté que la naissance de deux enfants constitue un fait nouveau, qui, sauf situation financière favorable qui n'est pas réalisée ici, entraîne un déséquilibre entre les parents. Ainsi, il n'est pas nécessaire d'examiner si une éventuelle modification du revenu hypothétique de l'intimé constitue également un fait nouveau. Il y a lieu en revanche de vérifier si l'autorité cantonale a BGE 137 III 604 S. 607 correctement recalculé la contribution d'entretien. A cet égard, il s'impose d'examiner en premier lieu les critiques du recourant quant à l'établissement du revenu hypothétique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