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59</w:t>
      </w:r>
    </w:p>
    <w:p>
      <w:r>
        <w:t>Bundesgericht (BGE), 2010-11-30, DE</w:t>
      </w:r>
    </w:p>
    <w:p>
      <w:r>
        <w:rPr>
          <w:b/>
        </w:rPr>
        <w:t xml:space="preserve">Quelle: </w:t>
      </w:r>
      <w:r>
        <w:t>https://mcp.opencaselaw.ch/entscheid/bge_BGE_137_III_59</w:t>
      </w:r>
    </w:p>
    <w:p>
      <w:r>
        <w:t>FR: ATF 137 III 59</w:t>
      </w:r>
    </w:p>
    <w:p>
      <w:r>
        <w:t>IT: DTF 137 III 59</w:t>
      </w:r>
    </w:p>
    <w:p>
      <w:pPr>
        <w:pStyle w:val="Heading2"/>
      </w:pPr>
      <w:r>
        <w:t>Regeste</w:t>
      </w:r>
    </w:p>
    <w:p>
      <w:r>
        <w:t>Regeste Bemessung des Unterhaltsbeitrages (Art. 285 ZGB); Schutz des Existenzminimums des Unterhaltsschuldners; Gleichbehandlung unterhaltsberechtigter Kinder. Bei der Bemessung des Unterhaltsbeitrages nach Art. 285 ZGB kann der wiederverheiratete Unterhaltsschuldner die Sicherung des Existenzminimums nur für seine eigene Person beanspruchen, nicht aber für seine gesamte zweite Familie. Ermittlung dieses Existenzminimums unter Wahrung der Gleichbehandlung aller unterhaltsberechtigten Kinder. Verteilung einer allfälligen Unterdeckung auf alle betroffenen Kinder des Unterhaltsschuldners (E. 4.2 und 4.3).</w:t>
      </w:r>
    </w:p>
    <w:p>
      <w:r>
        <w:t>Regeste Fixation de la contribution d'entretien (art. 285 CC); garantie du minimum vital du débiteur de l'entretien; égalité de traitement des enfants bénéficiaires de l'entretien. Lors de la fixation de la contribution d'entretien au sens de l'art. 285 CC, le débiteur d'aliments qui s'est remarié ne peut invoquer le respect que de son propre minimum vital et non de celui de sa seconde famille dans son ensemble. Détermination de ce minimum d'existence dans le respect de l'égalité de traitement de tous les enfants bénéficiaires de l'entretien. Répartition d'un éventuel déficit entre tous les enfants concernés du débiteur de l'entretien (consid. 4.2 et 4.3).</w:t>
      </w:r>
    </w:p>
    <w:p>
      <w:r>
        <w:t>Regesto Commisurazione del contributo per il mantenimento (art. 285 CC); garanzia del minimo esistenziale del debitore alimentare; uguaglianza di trattamento dei figli beneficiari del contributo per il mantenimento. Nell'ambito della commisurazione del contributo per il mantenimento ai sensi dell'art. 285 CC, il debitore alimentare che si è risposato può invocare unicamente la garanzia del suo minimo esistenziale, non di quello della sua intera seconda famiglia. Determinazione di questo minimo esistenziale nel rispetto dell'uguaglianza di trattamento di tutti i figli beneficiari del contributo per il mantenimento. Suddivisione di un eventuale ammanco tra tutti i figli del debitore alimentare che sono interessati da tale contributo (consid. 4.2 e 4.3).</w:t>
      </w:r>
    </w:p>
    <w:p>
      <w:pPr>
        <w:pStyle w:val="Heading2"/>
      </w:pPr>
      <w:r>
        <w:t>Erwägungen</w:t>
      </w:r>
    </w:p>
    <w:p>
      <w:r>
        <w:rPr>
          <w:b/>
        </w:rPr>
        <w:t>E. 4</w:t>
      </w:r>
    </w:p>
    <w:p>
      <w:r>
        <w:t>Die Beschwerdeführerin beanstandet weiter, die Unterhaltsregelung, die zum einen den Notbedarf der Kinder des Beschwerdegegners aus seiner zweiten Ehe decke und zum andern den Beschwerdegegner von der Unterhaltspflicht gegenüber seinen unmündigen Kindern aus erster Ehe entbinde, verstosse gegen das in Art. 8 Abs. 2 BV enthaltene verfassungsrechtliche Diskriminierungsverbot. Die Befreiung des Beschwerdegegners von seiner Unterhaltspflicht würdige die erstehelichen Kinder zu Kindern "zweiter Klasse" herab und wirke sich nicht nur psychisch, sondern auch materiell diskriminierend aus: Mangels Alimentenbevorschussung seien die Kinder aus erster Ehe auf Sozialhilfeleistungen angewiesen, die bei verbesserten finanziellen Verhältnissen zurückerstattet werden müssen. Zur Begründung ihrer Rüge führt die Beschwerdeführerin weiter aus, allein der Umstand, dass der Beschwerdegegner mit seinen Kindern aus zweiter Ehe zusammenlebt, sei kein sachlicher Grund, die gemeinsamen Kinder aus erster Ehe unterhaltsrechtlich schlechter zu stellen. Auch die Maxime, wonach familienrechtliche Unterhaltspflichten durch die finanzielle Leistungsfähigkeit des Unterhaltsschuldners begrenzt sind, vermöge die qualifizierte Ungleichbehandlung nicht zu rechtfertigen. Vielmehr hätten mehrere Kinder des gleichen Elternteils mit Bezug auf die elterliche Unterhaltspflicht Anspruch auf Gleichbehandlung.</w:t>
      </w:r>
    </w:p>
    <w:p>
      <w:r>
        <w:rPr>
          <w:b/>
        </w:rPr>
        <w:t>E. 4.1</w:t>
      </w:r>
    </w:p>
    <w:p>
      <w:r>
        <w:t>Das in Art. 8 Abs. 2 BV enthaltene allgemeine Diskriminierungsverbot entfaltet seine Schutzwirkung grundsätzlich nur im Verhältnis zwischen Bürger und Staat. Die Vorschrift hat keine unmittelbare Drittwirkung in den Beziehungen zwischen Privatpersonen, weshalb sich die Beschwerdeführerin in ihrer Beschwerde, die sich gegen einen Entscheid in einer Streitigkeit zwischen Privaten richtet, grundsätzlich nicht auf diese Vorschrift berufen kann. Indessen sind bei der Auslegung der Vorschriften des Zivilrechts die besonderen Anforderungen zu berücksichtigen, die sich aus den Grundrechten BGE 137 III 59 S. 62 ergeben. Wie auch aus der Beschwerdeschrift hervorgeht, kommt dem Beschwerdegrund der Verletzung von Art. 8 Abs. 2 BV keine eigenständige Bedeutung zu. Im Ergebnis wirft die Beschwerdeführerin der Vorinstanz nämlich vor, sie habe den Grundsatz der Gleichbehandlung aller unterhaltsberechtigten Kinder, wie er sich aus Art. 285 ZGB ergebe, ohne sachlichen Grund in qualifizierter Weise verletzt und damit die zivilrechtlichen Vorschriften über die Bemessung des Unterhaltsbeitrages offensichtlich falsch angewendet. Mit dieser Begründung verlangt die Beschwerdeführerin, der Unterhalt der erstehelichen Kinder sei dem Beschwerdegegner im analogen Rahmen zum Unterhalt der zweitehelichen Kinder zu überbinden, das heisst in der Höhe des monatlichen Grundbetrages zuzüglich Anteil Krankenkassenprämien.</w:t>
      </w:r>
    </w:p>
    <w:p>
      <w:r>
        <w:rPr>
          <w:b/>
        </w:rPr>
        <w:t>E. 4.2.1</w:t>
      </w:r>
    </w:p>
    <w:p>
      <w:r>
        <w:t>Die Grundsätze zur Bemessung des elterlichen Unterhaltsbeitrages sind in Art. 285 Abs. 1 ZGB geregelt. Nach der Rechtsprechung ergibt sich aus dieser Vorschrift, dass alle unterhaltsberechtigten Kinder eines Elternteils im Verhältnis zu ihren objektiven Bedürfnissen finanziell gleich zu behandeln sind. Ungleiche Unterhaltsbeiträge sind somit nicht von vorneherein ausgeschlossen, bedürfen aber einer besonderen Rechtfertigung ( BGE 126 III 353 E. 2b S. 358 f. mit Hinweisen). Die Höhe des Unterhaltsbeitrages hängt freilich nicht nur von der Leistungsfähigkeit des in die Unterhaltspflicht genommenen, sondern auch von den finanziellen Umständen des obhuts- bzw. sorgeberechtigten Elternteils ab ( BGE 126 III 353 E. 2b S. 359 mit Hinweisen). Über die Schranke der wirtschaftlichen Leistungsfähigkeit des unterhaltspflichtigen Elternteils kann sich das Gericht bei der Bemessung des Unterhaltsbeitrags für die Kinder nach Art. 285 Abs. 1 ZGB aber in aller Regel nicht hinwegsetzen ( BGE 127 III 68 E. 2c S. 70 f.; BGE 123 III 1 E. 3b/bb S. 5 mit Hinweisen). Nach der Rechtsprechung des Bundesgerichts ist dem Rentenschuldner mit Bezug auf alle familienrechtlichen Unterhaltskategorien zumindest das betreibungsrechtliche Existenzminimum stets voll zu belassen (vgl. BGE 126 III 353 E. 1a/aa S. 356, bestätigt in BGE 135 III 66 E. 2 ff. S. 67 ff. mit Hinweisen). Diese Rechtsprechung ist dahingehend zu verdeutlichen, dass der Rentenschuldner lediglich für seine eigene Person die Sicherung der Existenz beanspruchen kann. Er ist also nur im für ihn allein massgeblichen betreibungsrechtlichen Existenzminimum zu schützen. BGE 137 III 59 S. 63</w:t>
      </w:r>
    </w:p>
    <w:p>
      <w:r>
        <w:rPr>
          <w:b/>
        </w:rPr>
        <w:t>E. 4.2.2</w:t>
      </w:r>
    </w:p>
    <w:p>
      <w:r>
        <w:t>Diesem Grundsatz und dem aus Art. 285 ZGB folgenden Gleichbehandlungsprinzip ist insbesondere bei angespannten finanziellen Verhältnissen dadurch Rechnung zu tragen, dass zur Ermittlung der tatsächlichen wirtschaftlichen Leistungsfähigkeit des Rentenschuldners zunächst von dessen betreibungsrechtlichem Grundbetrag auszugehen ist. Massgeblich ist je nach den konkreten Umständen der Grundbetrag für einen alleinstehenden Schuldner, derjenige für einen alleinerziehenden Schuldner oder derjenige für einen verheirateten, in einer eingetragenen Partnerschaft oder als Paar mit Kindern lebenden Schuldner. In den drei zuletzt genannten Fällen ist dem Unterhaltsschuldner jedoch nur die Hälfte des Grundbetrages anzurechnen, denn der (neue) Ehegatte, eingetragene Partner bzw. Lebensgefährte des Rentenschuldners soll gegenüber dessen Kindern jedenfalls nicht privilegiert werden. Zum Grundbetrag sind alsdann die üblichen betreibungsrechtlichen Zuschläge hinzuzuzählen, soweit sie für den Unterhaltsschuldner allein massgeblich sind. Dazu zählen namentlich seine Wohnkosten, seine unumgänglichen Berufsauslagen sowie die Kosten für seine Krankenversicherung und - bei selbständiger Erwerbstätigkeit - für seine Altersvorsorge. Benützt der Unterhaltsschuldner seine Wohnung zusammen mit seinem Ehegatten oder mit anderen erwachsenen Personen, so ist ihm nach Massgabe deren - tatsächlicher oder hypothetischer - wirtschaftlicher Leistungsfähigkeit lediglich ein angemessener Anteil an den gesamten Wohnkosten als eigenes Existenzminimum anzurechnen. Bei der Ermittlung des Existenzminimums des Rentenschuldners sind demnach weder kinderbezogene Positionen (namentlich der betreibungsrechtliche Grundbetrag und die Krankenkassenprämie) der im gleichen Haushalt wohnenden Kinder des Unterhaltsschuldners zu berücksichtigen noch allfällige Unterhaltsbeiträge miteinzubeziehen, die der Unterhaltsschuldner seinen in einem anderen Haushalt lebenden vor- oder ausserehelichen Kindern zu bezahlen hat ( BGE 127 III 68 E. 2c. S. 71; Urteil 5A_352/2010 vom 29. Oktober 2010 E. 6.2.1 mit Hinweisen). Ausser Acht bleiben müssen aber auch diejenigen Positionen, die ausschliesslich den Ehegatten betreffen und für die der Rentenschuldner allenfalls nach den in Art. 163 ff. ZGB enthaltenen Vorschriften aufzukommen hätte, soweit der Ehegatte seinen eigenen Unterhalt nicht aus eigenen Kräften bestreitet bzw. bestreiten kann. Das Gleiche gilt sinngemäss im Falle einer eingetragenen Partnerschaft des Rentenschuldners (vgl. Art. 13 des Partnerschaftsgesetzes vom 18. Juni 2004 [PartG; SR 211.231]). BGE 137 III 59 S. 64</w:t>
      </w:r>
    </w:p>
    <w:p>
      <w:r>
        <w:rPr>
          <w:b/>
        </w:rPr>
        <w:t>E. 4.2.3</w:t>
      </w:r>
    </w:p>
    <w:p>
      <w:r>
        <w:t>Soweit das massgebliche Einkommen des Unterhaltsschuldners sein nach der geschilderten Berechnungsweise (E.4.2.1) ermitteltes eigenes Existenzminimum übersteigt, ist dieser Überschuss zunächst unter alle unterhaltsberechtigten Kinder (nach Massgabe ihrer jeweiligen Bedürfnisse und der Leistungsfähigkeit des anderen Elternteils) zu verteilen; gegebenenfalls muss der Schuldner zu diesem Zweck auch auf Abänderung früherer Urteile klagen, die zu hohe Beiträge festsetzen (Urteile 5A_62/2007 vom 24. August 2008 E. 6.2; 5C.197/2004 vom 9. Februar 2005 E. 3.1; 5C.127/2003 vom 15. Oktober 2003 E. 4.1.4). Vom Bedarf jedes unterhaltsberechtigten Kindes ist dabei in jedem Fall dessen Kinder- oder Ausbildungszulage abzuziehen, denn diese Leistungen, die ausschliesslich für den Unterhalt des Kindes bestimmt sind, werden nach der Rechtsprechung nicht zum Einkommen des bezugsberechtigten Elternteils hinzugezählt, sondern sind bei der Ermittlung des durch den Unterhaltsbeitrag zu deckenden Bedarfs des Kindes vorweg in Abzug zu bringen ( BGE 128 III 305 E. 4b S. 310; Urteil 5A_352/2010 vom 29. Oktober 2010 E. 6.2.1 mit Hinweisen). Reicht der allfällige Überschuss des unterhaltspflichtigen Elternteils nicht aus, um die Bedürfnisse all seiner Kinder zu decken, so ist das Manko auf alle Kinder und somit auf alle betroffenen Familien zu verteilen. Verbleibt überhaupt kein Überschuss, so können auch keine Unterhaltsbeiträge zugesprochen werden.</w:t>
      </w:r>
    </w:p>
    <w:p>
      <w:r>
        <w:rPr>
          <w:b/>
        </w:rPr>
        <w:t>E. 4.2.4</w:t>
      </w:r>
    </w:p>
    <w:p>
      <w:r>
        <w:t>Die erläuterten Grundsätze gelten nicht nur für das aussereheliche Kind, das unterhaltsmässig gleichgestellt werden will wie seine älteren Halbgeschwister aus einer anderen Verbindung seines Vaters. Die Prinzipien sind in gleicher Weise anzuwenden, wenn - wie im vorliegenden Fall - die Gleichbehandlung der älteren Kinder aus der ersten Ehe mit den jüngeren Halbgeschwistern aus der zweiten Ehe desselben Vaters in Frage steht (vgl. Urteil 5A_352/2010 vom 29. Oktober 2010 E. 6.2.1).</w:t>
      </w:r>
    </w:p>
    <w:p>
      <w:r>
        <w:rPr>
          <w:b/>
        </w:rPr>
        <w:t>E. 4.3.1</w:t>
      </w:r>
    </w:p>
    <w:p>
      <w:r>
        <w:t>Das Bundesgericht legt seinem Urteil den Sachverhalt zugrunde, den die Vorinstanz festgestellt hat ( Art. 105 Abs. 1 BGG ). Im vorliegenden Fall anerkennt die Beschwerdeführerin die zahlenmässige Bestimmung der entscheiderheblichen Beträge, wie sie von der Vorinstanz für die Bemessung des elterlichen Unterhaltsbeitrages vorgenommen wurde, ausdrücklich als "nicht streitig". Den diesbezüglichen Feststellungen ist zu entnehmen, dass der Beschwerdegegner bei voller Ausschöpfung seiner Arbeitskraft ein BGE 137 III 59 S. 65 Monatseinkommen von Fr. 3'348.- (exkl. Kinderzulagen) erzielen kann und seine jetzige Ehefrau keiner Erwerbstätigkeit nachgeht. Das Existenzminimum der gesamten Familie, das heisst des Beschwerdegegners, dessen zweiter Ehefrau und der von dieser geborenen Kinder, beläuft sich gemäss vorinstanzlichen Berechnungen auf Fr. 3'534.- (bis Ende Mai 2008), Fr. 3'876.- (bis Ende September 2009) bzw. Fr. 4'326.- (ab Oktober 2009). Das Obergericht hat ausserdem festgestellt, der Ehefrau des Beschwerdegegners könne zugemutet werden, eine Teilzeiterwerbstätigkeit aufzunehmen und ein (hypothetisches) Einkommen von monatlich Fr. 1'000.- zu erzielen; diese zusätzlichen Einnahmen seien den Einkünften der Familie des Beschwerdegegners ab Juni 2010 anzurechnen. Gestützt auf diese Feststellung gelangt die Vorinstanz zum Schluss, dass der Beschwerdegegner selbst unter Berücksichtigung des hypothetischen Einkommens seiner Ehefrau ab Juni 2010 bloss den Notbedarf seiner Familie (Fr. 4'326.-) decken kann und somit nicht in der Lage ist, die Unterhaltspflicht gegenüber seinen Kindern aus erster Ehe zu erfüllen.</w:t>
      </w:r>
    </w:p>
    <w:p>
      <w:r>
        <w:rPr>
          <w:b/>
        </w:rPr>
        <w:t>E. 4.3.2</w:t>
      </w:r>
    </w:p>
    <w:p>
      <w:r>
        <w:t>Aus diesen vorinstanzlichen Schlussfolgerungen bzw. aus den erstinstanzlichen Feststellungen im Urteil des Amtsgerichts vom 10. November 2009, auf welche die Vorinstanz ihre Erkenntnisse abstützt, geht hervor, dass das Obergericht des Kantons Luzern bei der Ermittlung der wirtschaftlichen Leistungsfähigkeit des Beschwerdegegners die in E. 4.2 dargelegten Regeln nicht befolgt und damit die in Art. 285 ZGB enthaltene Vorschrift falsch angewendet hat. Die vorinstanzliche Rechtsverletzung beruht zunächst darauf, dass das Obergericht nicht das Existenzminimum des Beschwerdegegners allein, sondern dasjenige seiner gesamten (zweiten) Familie ermittelt und bei der Prüfung seiner wirtschaftlichen Leistungsfähigkeit als Ganzes berücksichtigt hat. Anstatt alle kinder- und ehegattenbezogenen Positionen von der Berechnung auszuklammern, ist das Obergericht unter Einrechnung dieser Elemente zum falschen Schluss gelangt, der Beschwerdegegner könne selbst unter Anrechnung des hypothetischen Einkommens seiner zweiten Ehefrau ab Juni 2010 bloss den Notbedarf seiner Familie decken und daher die Unterhaltspflicht gegenüber seinen Kindern aus erster Ehe nicht erfüllen. Sodann hat das Obergericht auch gegen das Bundeszivilrecht verstossen, indem es die Kinderzulagen, die der Beschwerdegegner für seine zweitehelichen Kinder beanspruchen kann, von deren Grundbedarf nicht in Abzug gebracht hat. Diese Rechtsfehler haben zur Folge, dass der Beschwerdegegner gemäss dem angefochtenen BGE 137 III 59 S. 66 Urteil jedenfalls bei Mitberücksichtigung eines (hypothetischen) Einkommens seiner Ehefrau und bei Anrechnung der Kinderzulagen den Unterhalt seiner zweitehelichen Kinder über deren betreibungsrechtlichen Grundbedarf hinaus decken kann, während der Grundbedarf der erstehelichen Kinder überhaupt nicht oder - unter Berücksichtigung allfälliger Kinder- bzw. Ausbildungszulagen - nur teilweise gesichert ist.</w:t>
      </w:r>
    </w:p>
    <w:p>
      <w:r>
        <w:rPr>
          <w:b/>
        </w:rPr>
        <w:t>E. 4.4</w:t>
      </w:r>
    </w:p>
    <w:p>
      <w:r>
        <w:t>Im Ergebnis erweist sich die Beschwerde als begründet. Im Rahmen der Ermittlung der tatsächlichen wirtschaftlichen Leistungsfähigkeit des Beschwerdegegners nach den dargelegten Regeln (E. 4.2) wird das Obergericht auch zu berücksichtigen haben, dass den Einkünften der Familie des Beschwerdegegners ab Juni 2010 ein hypothetisches Einkommen seiner Ehefrau von monatlich Fr. 1'000.- anzurechnen ist. Das Obergericht wird prüfen müssen, ob und gegebenenfalls in welchem Ausmass die Ehefrau dem Beschwerdegegner in der Erfüllung seiner Unterhaltspflicht gegenüber seinen vorehelichen Kindern beizustehen hat, entsprechend der in Art. 278 Abs. 2 ZGB enthaltenen Vorschrift und den dazu entwickelten Grundsätzen (vgl. dazu Urteil 5A_352/2010 vom 29. Oktober 2010 E. 6.2.2 mit Hinweisen). In welcher Höhe die Beistandspflicht der Ehefrau des Beschwerdegegners im Einzelnen anzusetzen ist, bestimmt sich zunächst nach dem massgeblichen Grundbedarf der Kinder aus erster Ehe. Davon sind nach dem Gesagten (E. 4.2.3) wiederum allfällige Familienzulagen in Abzug zu bringen, die der Beschwerdegegner bezieht und der Beschwerdeführerin überweist. Ob er dies tatsächlich getan hat bzw. immer noch tut, nachdem die beiden jüngeren Kinder aus erster Ehe bereits am 28. Januar 2008 (B.) bzw. 7. Februar 2009 (C.) ihr sechzehntes Altersjahr vollendet haben, geht weder aus dem angefochtenen Entscheid noch aus den übrigen Akten hervor. Gestützt auf die tatsächlichen Feststellungen der Vorinstanz kann das Bundesgericht in der Sache selbst deshalb kein Urteil 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