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563</w:t>
      </w:r>
    </w:p>
    <w:p>
      <w:r>
        <w:t>Bundesgericht (BGE), 2011-12-09, DE</w:t>
      </w:r>
    </w:p>
    <w:p>
      <w:r>
        <w:rPr>
          <w:b/>
        </w:rPr>
        <w:t xml:space="preserve">Quelle: </w:t>
      </w:r>
      <w:r>
        <w:t>https://mcp.opencaselaw.ch/entscheid/bge_BGE_137_III_563</w:t>
      </w:r>
    </w:p>
    <w:p>
      <w:r>
        <w:t>FR: ATF 137 III 563</w:t>
      </w:r>
    </w:p>
    <w:p>
      <w:r>
        <w:t>IT: DTF 137 III 563</w:t>
      </w:r>
    </w:p>
    <w:p>
      <w:pPr>
        <w:pStyle w:val="Heading2"/>
      </w:pPr>
      <w:r>
        <w:t>Regeste</w:t>
      </w:r>
    </w:p>
    <w:p>
      <w:r>
        <w:t>Regeste Art. 6 Abs. 5 ZPO; sachliche Zuständigkeit zur Anordnung der vorläufigen Eintragung eines Bauhandwerkerpfandrechts. Die Handelsgerichte sind zuständig, die vorläufige Eintragung eines Bauhandwerkerpfandrechts anzuordnen, sofern die Hauptsache (Verfahren auf definitive Eintragung) handelsrechtlich ist (E. 2 und 3).</w:t>
      </w:r>
    </w:p>
    <w:p>
      <w:r>
        <w:t>Regeste Art. 6 al. 5 CPC; compétence matérielle pour ordonner l'inscription provisoire d'une hypothèque légale des artisans et entrepreneurs. Les tribunaux de commerce sont compétents pour ordonner l'inscription provisoire d'une hypothèque légale des artisans et entrepreneurs pour autant que la cause au fond (procédure d'inscription définitive) soit de nature commerciale (consid. 2 et 3).</w:t>
      </w:r>
    </w:p>
    <w:p>
      <w:r>
        <w:t>Regesto Art. 6 cpv. 5 CPC; competenza materiale per ordinare l'iscrizione provvisoria di un'ipoteca legale degli artigiani ed imprenditori. I tribunali commerciali sono competenti per ordinare l'iscrizione provvisoria di un'ipoteca legale degli artigiani ed imprenditori se la causa di merito (procedura d'iscrizione definitiva) è di natura commerciale (consid. 2 e 3).</w:t>
      </w:r>
    </w:p>
    <w:p>
      <w:pPr>
        <w:pStyle w:val="Heading2"/>
      </w:pPr>
      <w:r>
        <w:t>Erwägungen</w:t>
      </w:r>
    </w:p>
    <w:p>
      <w:r>
        <w:rPr>
          <w:b/>
        </w:rPr>
        <w:t>E. 2</w:t>
      </w:r>
    </w:p>
    <w:p>
      <w:r>
        <w:t>Gemäss Art. 6 Abs. 5 ZPO (SR 272) ist das Handelsgericht für die Anordnung vorsorglicher Massnahmen vor Eintritt der Rechtshängigkeit einer Klage zuständig. Vorausgesetzt ist, dass es in der (noch nicht hängigen) Hauptsache zuständig sein wird. Das Handelsgericht hat seine Zuständigkeit zur vorläufigen Eintragung eines Bauhandwerkerpfandrechts aus systematischen Gründen verneint: Das BGE 137 III 563 S. 565 summarische Verfahren sei im 5. Titel der ZPO geregelt ( Art. 248 ff. ZPO ). Art. 248 ZPO liste die Summarsachen auf. Gemäss lit. a von Art. 248 ZPO sei das summarische Verfahren in den vom Gesetz bestimmten Fällen anwendbar und gemäss lit. d dieser Norm für die vorsorglichen Massnahmen. Fälle gemäss lit. a von Art. 248 ZPO würden in nicht abschliessender Weise in Art. 249 ff. ZPO aufgezählt. In Art. 249 lit. d Ziff. 5 ZPO werde die vorläufige Eintragung gesetzlicher Grundpfandrechte genannt, worunter auch die vorläufige Eintragung eines Bauhandwerkerpfandrechts falle. Nach der klaren Systematik der ZPO handle es sich bei der vorläufigen Eintragung des Bauhandwerkerpfandrechts folglich nicht um eine vorsorgliche Massnahme. Die vorsorglichen Massnahmen ( Art. 261 ff. ZPO ) seien vielmehr durch ein eigenes Kapitel im 5. Titel der ZPO (5. Kapitel mit der Überschrift "Vorsorgliche Massnahmen und Schutzschrift") klar abgegrenzt von den anderen Geschäften des summarischen Verfahrens. Dass in anderen Gesetzen wie dem BGG eine andere Begrifflichkeit gelte, ändere daran nichts.</w:t>
      </w:r>
    </w:p>
    <w:p>
      <w:r>
        <w:rPr>
          <w:b/>
        </w:rPr>
        <w:t>E. 3.1</w:t>
      </w:r>
    </w:p>
    <w:p>
      <w:r>
        <w:t>Es trifft zu, dass die vorläufige Eintragung des Bauhandwerkerpfandrechts unter die Aufzählung gesetzlicher Pfandrechte in Art. 249 lit. d Ziff. 5 ZPO fällt. Diese Bestimmung verweist ausdrücklich auf die Art. 837 bis 839 ZGB. Mittelbar wird die vorläufige Eintragung des Bauhandwerkerpfandrechts von Art. 249 lit. d ZPO sogar ein zweites Mal erfasst, nämlich von Ziffer 11. Dort wird unter anderem die Vormerkung vorläufiger Eintragungen im Streitfall gemäss Art. 961 Abs. 1 Ziff. 1 ZGB aufgeführt. Auf diese Norm stützt sich die vorläufige Eintragung eines Bauhandwerkerpfandrechts gemäss Art. 22 Abs. 4 der Verordnung vom 22. Februar 1910 betreffend das Grundbuch (GBV [SR 211.432.1; BS 2 530]; BGE 126 III 462 E. 2c/aa S. 465 mit Hinweisen).</w:t>
      </w:r>
    </w:p>
    <w:p>
      <w:r>
        <w:rPr>
          <w:b/>
        </w:rPr>
        <w:t>E. 3.2</w:t>
      </w:r>
    </w:p>
    <w:p>
      <w:r>
        <w:t>Aus diesen systematischen Gegebenheiten kann jedoch nicht abgeleitet werden, die vorläufige Eintragung eines Bauhandwerkerpfandrechts sei keine vorsorgliche Massnahme. Art. 248 ZPO sieht das Summarverfahren für unterschiedliche Tatbestände vor, ordnet sie aber nicht nach einem einheitlichen Gesichtspunkt. Soweit von der Sache her möglich, ist es nicht ausgeschlossen, dass eine Angelegenheit sowohl unter lit. a wie auch unter eine der anderen Kategorien von Art. 248 ZPO fällt. Deutlich zu erkennen ist dies bei Angelegenheiten der freiwilligen Gerichtsbarkeit. Sie unterstehen gestützt auf Art. 248 lit. e ZPO dem summarischen Verfahren. Viele BGE 137 III 563 S. 566 Einzeltatbestände freiwilliger Gerichtsbarkeit sind zusätzlich von Gesetzes wegen ( Art. 248 lit. a ZPO ) dem Summarium zugeordnet, indem sie in den Katalogen von Art. 249 f. ZPO ausdrücklich erwähnt werden (z.B. die Entgegennahme eines mündlichen Testaments nach Art. 249 lit. c Ziff. 1 ZPO ). Die ausdrückliche Erwähnung in Art. 249 ZPO dient in diesen Fällen immerhin der Anschaulichkeit und der Klarstellung. Aus der Tatsache, dass eine Angelegenheit von Gesetzes wegen dem Summarium untersteht und im Katalog von Art. 249 ZPO erwähnt wird, können keine Schlüsse auf die Rechtsnatur derselben gezogen werden. Die in Art. 249 ZPO aufgezählten Fälle unterscheiden sich stark. Neben den erwähnten Tatbeständen freiwilliger Gerichtsbarkeit enthält die Aufzählung etwa auch Fälle streitiger Gerichtsbarkeit (z.B. den Anspruch auf Gegendarstellung nach Art. 249 lit. a Ziff. 1 ZPO ). Die in Art. 249 ZPO genannten Tatbestände haben somit keine andere Gemeinsamkeit, als dass sie alle im Summarverfahren zu erledigen sind (vgl. für eine Systematisierung ISAAK MEIER, Schweizerisches Zivilprozessrecht, 2010, S. 366 ff.). Auf die Systematik des 5. Titels der ZPO kann folglich für die Auslegung des Begriffs der vorsorglichen Massnahme in Art. 6 Abs. 5 ZPO nicht entscheidend abgestellt werden. Vielmehr ist im Einzelfall zu untersuchen, ob eine bestimmte Anordnung die wesentlichen Begriffsmerkmale einer vorsorglichen Massnahme ( Art. 261 ff. ZPO ) erfüllt. Der in Art. 6 Abs. 5 ZPO verwendete Begriff der vorsorglichen Massnahme ist mit demjenigen von Art. 261 ff. ZPO identisch. Zu prüfen bleibt demnach, ob die vorläufige Eintragung eines Bauhandwerkerpfandrechts eine vorsorgliche Massnahme gemäss Art. 261 ff. und 6 Abs. 5 ZPO darstellt.</w:t>
      </w:r>
    </w:p>
    <w:p>
      <w:r>
        <w:rPr>
          <w:b/>
        </w:rPr>
        <w:t>E. 3.3</w:t>
      </w:r>
    </w:p>
    <w:p>
      <w:r>
        <w:t>Nach Art. 839 Abs. 2 ZGB hat die Eintragung des Pfandrechts der Handwerker und Unternehmer bis spätestens drei Monate nach der Vollendung ihrer Arbeit zu geschehen. Die Eintragung muss tatsächlich erfolgt sein; es genügt nicht, sie innert Frist zu verlangen. Es handelt sich um eine Verwirkungsfrist, für deren Wahrung die vorläufige Eintragung in Gestalt einer Vormerkung ausreicht ( Art. 961 Abs. 1 Ziff. 1 ZGB i.V.m. Art. 22 Abs. 4 GBV ). Die vorläufige Eintragung bewirkt, dass das durch die spätere definitive Eintragung geschaffene Pfandrecht in seinen Wirkungen auf den Tag der vorläufigen Eintragung zurückbezogen wird (Art. 961 Abs. 2 i.V.m. Art. 972 ZGB ; BGE 126 III 462 E. 2c/aa S. 464 f. mit Hinweisen). Durch den Fristablauf verliert der Berechtigte seinen Anspruch auf Pfandrechtseintragung und in der Folge auch die Aussicht auf pfandrechtliche BGE 137 III 563 S. 567 Sicherung seiner Forderung. Die vorläufige Eintragung bezweckt, diesen drohenden, nicht wieder gutzumachenden Rechtsnachteil abzuwenden. Ihre praktische Bedeutung ist ausserordentlich gross, weil der Prozess auf definitive Eintragung kaum je innerhalb der Dreimonatsfrist abgeschlossen sein wird und Gesuche um Eintragung des Bauhandwerkerpfandrechts in aller Regel erst kurz vor Fristablauf gestellt werden. Die vorläufige, allenfalls sogar superprovisorische Eintragung des Bauhandwerkerpfandrechts ist demnach geradezu ein Musterbeispiel vorsorglichen Rechtsschutzes (vgl. Art. 261 ZPO ). Entsprechend sieht Art. 262 lit. c ZPO als möglichen Inhalt einer vorsorglichen Massnahme die gerichtliche Anweisung an eine Registerbehörde ausdrücklich vor (vgl. Botschaft vom 28. Juni 2006 zur Schweizerischen Zivilprozessordnung [ZPO], BBl 2006 7355 Ziff. 5.19 zu Art. 258 des Entwurfs [fortan: Botschaft ZPO]). Auch weitere Bestimmungen des Massnahmeverfahrens (etwa über die Ansetzung einer Klagefrist und superprovisorische Massnahmen) sind auf die vorläufige Eintragung des Bauhandwerkerpfandrechts anwendbar. Der Qualifikation als vorsorgliche Massnahme tut keinen Abbruch, dass an die Glaubhaftmachung ( Art. 961 Abs. 3 ZGB ) der Voraussetzungen für die vorläufige Bauhandwerkerpfandrechtseintragung weniger strenge Anforderungen gestellt werden, als es diesem Beweismass, das auch für vorsorgliche Massnahmen gilt ( Art. 261 Abs. 1 ZPO ), sonst entspricht ( BGE 86 I 265 E. 3 S. 269 f.; Urteil 5A_777/2009 vom 1. Februar 2010 E. 4.1 mit Hinweisen). Schliesslich bezeichnen auch die Publikationen zur neuen eidgenössischen ZPO die vorläufige Eintragung eines Bauhandwerkerpfandrechts als Anwendungsfall vorsorglichen Rechtsschutzes (JENT-SØRENSEN, in: Kurzkommentar ZPO, 2010, N. 18 zu Art. 249 ZPO ; KAUFMANN, in: Schweizerische Zivilprozessordnung [ZPO], Brunner und andere [Hrsg.], 2011, N. 5 zu Art. 249 ZPO ; MAZAN, in: Basler Kommentar, Schweizerische Zivilprozessordnung, 2010, N. 19 zu Art. 249 ZPO ; MEIER, a.a.O., S. 367; SPRECHER, in: Basler Kommentar, a.a.O., N. 18 2. Lemma zu Art. 262 ZPO ; SCHUMACHER, Das Bauhandwerkerpfandrecht, Ergänzungsband zur 3. Auflage, 2011, Rz. 540 ff. und 574; TREZZINI, in: Commentario al Codice di diritto processuale civile svizzero [CPC], 2011, S. 1109; WALTHER, Eintragung provisorischer Bauhandwerkerpfandrechte nach neuer ZPO - ein Fall für die Handelsgerichte-, SZZP 2011 S. 450). Die vorläufige Eintragung eines Bauhandwerkerpfandrechts entspricht somit in den relevanten Gesichtspunkten einer vorsorglichen Massnahme, wie sie in Art. 261 ff. ZPO umrissen wird. BGE 137 III 563 S. 568</w:t>
      </w:r>
    </w:p>
    <w:p>
      <w:r>
        <w:rPr>
          <w:b/>
        </w:rPr>
        <w:t>E. 3.4</w:t>
      </w:r>
    </w:p>
    <w:p>
      <w:r>
        <w:t>Daraus folgt, dass die vorläufige Eintragung des Bauhandwerkerpfandrechts auch in der Begrifflichkeit von Art. 6 Abs. 5 ZPO eine vorsorgliche Massnahme ist. Die Handelsgerichte sind somit zur Beurteilung entsprechender Gesuche zuständig, sofern die Hauptsache handelsrechtlicher Natur ist ( Art. 6 Abs. 2 ZPO ). Hauptsache ist die definitive Eintragung des Bauhandwerkerpfandrechts, die allenfalls mit einer Forderungsklage auf Zahlung der erbrachten Leistungen verbunden werden kann (vgl. BGE 134 III 16 E. 2.1 S. 19 mit Hinweis). Das Handelsgericht hat sich nicht ausdrücklich dazu geäussert, ob es für die Hauptsache zuständig ist. Es scheint aber davon auszugehen, dass die Hauptsache eine handelsrechtliche Streitigkeit ist. Das Obergericht hat demgegenüber in seiner Verfügung vom 12. Juli 2011 ausdrücklich festgehalten, dass das Handelsgericht den ordentlichen Prozess zweifelsfrei werde annehmen müssen. Diese Frage ist hier nicht zu vertiefen. An dieser Stelle ist einzig zu klären, ob es Gründe gibt, vom Wortlaut von Art. 6 Abs. 5 ZPO abzuweichen und die Handelsgerichte trotz allenfalls gegebener Hauptsachezuständigkeit für die vorsorgliche Massnahme nicht als zuständig zu erachten. Dies ist nicht der Fall. Die in Art. 6 Abs. 5 ZPO vorgesehene Kompetenzattraktion soll nach der bundesrätlichen Botschaft die Einheitlichkeit des Verfahrens fördern (Botschaft ZPO, a.a.O., 7262 Ziff. 5.2.1 zu Art. 6 des Entwurfs). Dieser Zweck würde unterlaufen, wenn die Zuständigkeit nach der vom Handelsgericht offenbar vertretenen Konzeption insofern gespalten würde, als die Bezirksgerichte für die vorläufige Eintragung und das Handelsgericht für die Hauptsache zuständig wären. Die Kantone haben im Rahmen von Art. 6 Abs. 5 ZPO keine Möglichkeit, die Zuständigkeit des Handelsgerichts enger zu umschreiben als von Bundesrechts wegen vorgesehen und vorsorgliche Massnahmen von der Zuständigkeit des Handelsgerichts auszunehmen, wenn es in der Hauptsache zuständig ist. Das untere Gericht am Ort des betroffenen Grundstücks ( Art. 13 und Art. 29 Abs. 1 lit. c ZPO ) kann zwar womöglich mit dem zuständigen Grundbuchamt aufgrund der räumlichen Nähe einfacher kommunizieren als ein Handelsgericht. Dies könnte für Eintragungen kurz vor Fristablauf ein Vorteil sein (vgl. SCHUMACHER, a.a.O., Rz. 560 und 573). Dieser Gesichtspunkt ist für die Auslegung von Art. 6 Abs. 5 ZPO aber nicht relevant. Ob die räumliche Nähe vorliegt, hängt von den Zufälligkeiten der kantonalen Behördenorganisation ab. Sie ist nicht bundesrechtlich vorgeschrieben. In dringenden Fällen ermöglicht Art. 13 Abs. 4 GBV allen Gerichten per Telefon oder auf BGE 137 III 563 S. 569 elektronischem Wege schnelle Grundbuchanmeldungen für Vormerkungen von vorläufigen Eintragungen. In der Vernehmlassung bringt das Handelsgericht vor, eine Aufsplittung der Zuständigkeit zur vorläufigen Eintragung auf das Handelsgericht in handelsrechtlichen Fällen und auf die unteren ordentlichen Gerichte in den übrigen Fällen sei nicht bürgernah und Laien könnten Gefahr laufen, an die falsche Instanz zu gelangen. Dieses Bedenken trifft zwar grundsätzlich zu. Es handelt sich aber um ein Problem, das jeder Sondergerichtsbarkeit innewohnt. Der Gesetzgeber nimmt es offenbar in Kauf, sonst hätte er den Kantonen die Einrichtung von Handelsgerichten nicht gestattet.</w:t>
      </w:r>
    </w:p>
    <w:p>
      <w:r>
        <w:rPr>
          <w:b/>
        </w:rPr>
        <w:t>E. 3.5</w:t>
      </w:r>
    </w:p>
    <w:p>
      <w:r>
        <w:t>Das Handelsgericht hat sich - wie gesagt - noch nicht zur Natur der Hauptsachestreitigkeit geäussert und ebenso wenig zur Begründetheit des Gesuchs um vorläufige Eintragung des Bauhandwerkerpfandrechts. Entgegen dem Antrag der Beschwerdeführerin kann das Bundesgericht somit die vorläufige Eintragung nicht selber anordnen. Vielmehr ist das Verfahren zur Prüfung der angesprochenen Fragen an das Handelsgericht zurückzuweisen. Die provisorisch vorgenommene vorläufige Eintragung ist aufrechtzuerhalten, bis das Handelsgericht erneut über die Sache geurteilt hat und sein Entscheid nicht mehr mit Beschwerde an das Bundesgericht weitergezogen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