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556</w:t>
      </w:r>
    </w:p>
    <w:p>
      <w:r>
        <w:t>Bundesgericht (BGE), 2011-09-21, DE</w:t>
      </w:r>
    </w:p>
    <w:p>
      <w:r>
        <w:rPr>
          <w:b/>
        </w:rPr>
        <w:t xml:space="preserve">Quelle: </w:t>
      </w:r>
      <w:r>
        <w:t>https://mcp.opencaselaw.ch/entscheid/bge_BGE_137_III_556</w:t>
      </w:r>
    </w:p>
    <w:p>
      <w:r>
        <w:t>FR: ATF 137 III 556</w:t>
      </w:r>
    </w:p>
    <w:p>
      <w:r>
        <w:t>IT: DTF 137 III 556</w:t>
      </w:r>
    </w:p>
    <w:p>
      <w:pPr>
        <w:pStyle w:val="Heading2"/>
      </w:pPr>
      <w:r>
        <w:t>Regeste</w:t>
      </w:r>
    </w:p>
    <w:p>
      <w:r>
        <w:t>Regeste Streitigkeiten über die Auslegung und die Anwendung von Gesamtarbeitsverträgen (AVEG, Art. 60 Abs. 3 BBG, Art. 72 und 82 BGG); Aktivlegitimation der paritätischen Berufskommissionen (Landesmantelvertrag für das Bauhauptgewerbe)? Streitigkeiten über die Auslegung und Anwendung von nach dem AVEG allgemeinverbindlich erklärten Gesamtarbeitsverträgen gelten als Zivilsachen. Dies gilt nicht für die nach Art. 60 Abs. 3 BBG auf alle Betriebe einer Branche ausgedehnte Pflicht zur Leistung von Bildungsbeiträgen an Berufsausbildungsfonds (E. 3). Ist die paritätische Berufskommission gestützt auf den Landesmantelvertrag für das Bauhauptgewerbe berechtigt, eine von ihr verhängte Konventionalstrafe in eigenem Namen gerichtlich geltend zu machen? Frage offengelassen (E. 4-4.6).</w:t>
      </w:r>
    </w:p>
    <w:p>
      <w:r>
        <w:t>Regeste Litiges concernant l'interprétation et l'application de conventions collectives de travail (LECCT, art. 60 al. 3 LFPr, art. 72 et 82 LTF); légitimation active des commissions professionnelles paritaires (Convention nationale pour le secteur principal de la construction)? Appartiennent à la matière civile les litiges concernant l'interprétation et l'application de conventions collectives de travail dont le champ d'application a été étendu d'après la LECCT. Cela ne vaut pas pour le devoir étendu à toutes les entreprises d'une branche au sens de l'art. 60 al. 3 LFPr de verser des contributions de formation à un fonds en faveur de la formation professionnelle (consid. 3). La commission professionnelle paritaire, sur la base de la Convention nationale pour le secteur principal de la construction, est-elle en droit de faire valoir en justice en son propre nom une peine conventionnelle prononcée par elle? Question laissée ouverte (consid. 4-4.6).</w:t>
      </w:r>
    </w:p>
    <w:p>
      <w:r>
        <w:t>Regesto Liti sull'interpretazione e l'applicazione di contratti collettivi di lavoro (LOCCL, art. 60 cpv. 3 LFPr, art. 72 e 82 LTF); legittimazione attiva delle commissioni professionali paritetiche (contratto nazionale mantello dell'edilizia e del genio civile)? Sono liti in materia civile quelle che concernono l'interpretazione e l'applicazione di contratti collettivi di lavoro a cui è stato conferito carattere obligatorio generale in virtù della LOCCL. Ciò non vale per l'obbligo esteso dall'art. 60 cpv. 3 LFPr a tutte le aziende di un ramo di versare contributi di formazione al fondo a favore della formazione (consid. 3). La commissione professionale paritetica è legittimata, sulla base del contratto nazionale mantello dell'edilizia e del genio civile, a far valere giudizialmente in proprio nome una pena convenzionale da lei pronunciata? Quesito lasciato indeciso (consid. 4-4.6).</w:t>
      </w:r>
    </w:p>
    <w:p>
      <w:pPr>
        <w:pStyle w:val="Heading2"/>
      </w:pPr>
      <w:r>
        <w:t>Erwägungen</w:t>
      </w:r>
    </w:p>
    <w:p>
      <w:r>
        <w:rPr>
          <w:b/>
        </w:rPr>
        <w:t>E. 3</w:t>
      </w:r>
    </w:p>
    <w:p>
      <w:r>
        <w:t>Nach der Rechtsprechung des Bundesgerichts gelten Streitigkeiten über die Auslegung und Anwendung von Gesamtarbeitsverträgen als Zivilsachen ( BGE 134 III 399 , 541). Ansprüche aus Gesamtarbeitsverträgen werden auch dann dem Privatrecht zugeordnet, wenn sie auf gemäss dem Bundesgesetz vom 28. September 1956 über die BGE 137 III 556 S. 558 Allgemeinverbindlicherklärung von Gesamtarbeitsverträgen (AVEG; SR 221.215.311) allgemeinverbindlich erklärten Bestimmungen beruhen und gegenüber Aussenseitern geltend gemacht werden ( BGE 118 II 528 E. 2a S. 531; Urteil des Bundesgerichts 4A_300/2007 vom 6. Mai 2008 E. 1, nicht publ. in: BGE 134 III 399 ). Wird allerdings die Pflicht zur Leistung von Bildungsbeiträgen an Berufsausbildungsfonds in Anwendung von Art. 60 Abs. 3 des Bundesgesetzes vom 13. Dezember 2002 über die Berufsbildung (Berufsbildungsgesetz, BBG; SR 412.10) für alle Betriebe einer Branche verbindlich erklärt, ist keine Zivilsache mehr gegeben (BGE 2C_561/2010 vom 28. Juli 2011 E. 1). Da die zu beurteilende Streitigkeit nicht Beiträge an Berufsbildungsfonds betrifft, steht die Beschwerde in öffentlich- rechtlichen Angelegenheiten nicht offen und hat der Beschwerdeführer zu Recht Beschwerde in Zivilsachen ergriffen.</w:t>
      </w:r>
    </w:p>
    <w:p>
      <w:r>
        <w:rPr>
          <w:b/>
        </w:rPr>
        <w:t>E. 4</w:t>
      </w:r>
    </w:p>
    <w:p>
      <w:r>
        <w:t>Der Betrieb des Beschwerdeführers fällt unbestritten in den räumlichen und sachlichen Anwendungsbereich des vom Bundesrat allgemeinverbindlich erklärten Landesmantelvertrages. Der Beschwerdeführer hält jedoch die ihm auferlegte Konventionalstrafe und die Verfahrenskostenbeteiligung für rechtswidrig, wobei er namentlich die Aktivlegitimation der Beschwerdegegnerin bestreitet sowie mit Blick auf Lücken in der zeitlichen Geltungsdauer der Landesmantelverträge das Recht der Beschwerdegegnerin, die eingeleiteten Verfahren weiterzuverfolgen, in Abrede stellt. Der Beschwerdeführer hält zwar auch vor Bundesgericht an seinem Begehren um Herabsetzung der Konventionalstrafe fest. Mit Bezug auf die Höhe der Konventionalstrafe äussert er sich in der Beschwerdebegründung aber ausschliesslich zum Zinsenlauf. Hauptstreitpunkt bildet die Frage, ob die Beschwerdegegnerin aktivlegitimiert ist.</w:t>
      </w:r>
    </w:p>
    <w:p>
      <w:r>
        <w:rPr>
          <w:b/>
        </w:rPr>
        <w:t>E. 4.1</w:t>
      </w:r>
    </w:p>
    <w:p>
      <w:r>
        <w:t>Gemäss Art. 76 Abs. 1 LMV /2005 bestellen die Vertragsparteien des lokalen GAV eine lokale paritätische Berufskommission in der Rechtsform eines Vereines, die ausdrücklich ermächtigt ist, den LMV während seiner Gültigkeit zu vollziehen. Art. 76 Abs. 2 LMV /2005, der die Vertragsparteien des LMV verpflichtet, den lokalen paritätischen Berufskommissionen die erforderlichen Vollmachten zur Vertretung des gemeinsamen Anspruchs gemäss Art. 357b OR zu erteilen, wurde nicht allgemeinverbindlich erklärt. Gemäss Art. 76 Abs. 3 lit. a LMV /2005 hat die lokale paritätische Berufskommission die Aufgabe, auftrags und namens der LMV-Vertragsparteien die arbeitsvertraglichen Bestimmungen des LMV inklusive deren Anhänge und Zusatzvereinbarungen durchzusetzen, sofern im LMV BGE 137 III 556 S. 559 oder in einer anderen Vereinbarung keine andere Lösung getroffen wurde, und den lokalen GAV anzuwenden und durchzusetzen sowie allfällige Meinungsverschiedenheiten oder Streitigkeiten über die Anwendung des lokalen GAV zu schlichten. Dabei obliegt der lokalen paritätischen Berufskommission nach Art. 76 Abs. 3 lit. b LMV /2005 insbesondere die Durchführung von gemeinsamen Lohnkontrollen und Untersuchungen über die Arbeitsverhältnisse im Betrieb. Die lokale paritätische Berufskommission kann eine Firma bezüglich Einhaltung des LMV kontrollieren, führt Kontrollen bezüglich Einhaltung des LMV durch und kontrolliert die Baustellen oder lässt die Kontrolle durch Dritte vornehmen und beschliesst, ob eine Verwarnung oder eine Sanktion ausgesprochen wird und wer die Kontroll- und Verfahrenskosten zu tragen hat (vgl. Art. 76 Abs. 4 LMV /2005). Unter dem Titel Sanktionen hält Art. 79 Abs. 2 LMV /2005 fest, die paritätische Berufskommission sei berechtigt, eine Konventionalstrafe bis zu Fr. 50'000.- zu verhängen (wobei in Fällen vorenthaltener geldwerter Ansprüche die Konventionalstrafe bis zur Höhe der geschuldeten Leistung gehen dürfe) und die Neben- und Verfahrenskosten der fehlbaren Partei aufzuerlegen. Gemäss Art. 79 Abs. 4 LMV /2005 kann im lokalen GAV die gemeinsame Durchführung, beschränkt auf die Durchsetzung von Konventionalstrafen der paritätischen Berufskommission ( Art. 357b Abs. 1 lit. c OR ), aufgenommen werden, sofern die Vertragsparteien von dieser Möglichkeit Gebrauch machen wollen und die erforderliche Ermächtigung nach Art. 357b Abs. 2 OR vorliegt. Art. 79 Abs. 5 LMV /2005 bestimmt schliesslich, eine rechtskräftig verhängte Konventionalstrafe sei innert 30 Tagen der paritätischen Berufskommission zu zahlen, wobei diese den Betrag für den Vollzug und die Durchsetzung des GAV verwendet.</w:t>
      </w:r>
    </w:p>
    <w:p>
      <w:r>
        <w:rPr>
          <w:b/>
        </w:rPr>
        <w:t>E. 4.2</w:t>
      </w:r>
    </w:p>
    <w:p>
      <w:r>
        <w:t>Aufgrund des Textes des Landesmantelvertrages blieb nach Auffassung der Vorinstanz unklar, ob der paritätischen Berufskommission ein eigener Anspruch auf die Konventionalstrafe und die Kosten eingeräumt werden sollte. Die Vorinstanz ging indessen davon aus, namentlich mit Blick auf den verfolgten Zweck, eine wirtschaftliche Verflechtung mit den Vertragsparteien zu vermeiden, sei der Beschwerdegegnerin ein eigener Anspruch zuzuerkennen oder zumindest das Recht, diesen im Rahmen einer Prozessstandschaft in eigenem Namen geltend zu machen. Der Beschwerdeführer vertritt demgegenüber den Standpunkt, die Beschwerdegegnerin hätte im Gerichtsverfahren sowie bereits zuvor bei Ausfällung der BGE 137 III 556 S. 560 Konventionalstrafe nur im Namen der Vertragsparteien handeln können. Er weist ausserdem darauf hin, dass der LMV gekündigt worden sei und zeitweise ein vertragsloser Zustand geherrscht habe. Für die in dieser Zeit vorgenommenen Prozesshandlungen habe es der Beschwerdegegnerin an der Vertretungsbefugnis gefehlt, da die von ihr eingereichten Vollmachten auf die Geltung des LMV beschränkt seien.</w:t>
      </w:r>
    </w:p>
    <w:p>
      <w:r>
        <w:rPr>
          <w:b/>
        </w:rPr>
        <w:t>E. 4.3</w:t>
      </w:r>
    </w:p>
    <w:p>
      <w:r>
        <w:t>Die Beschwerdegegnerin hat den LMV für dessen Geltungsdauer gegenüber den davon erfassten Parteien durchzusetzen. Der Beschwerdeführer behauptet nicht, dass sich der eingeklagte Betrag auch auf Handlungen ausserhalb der Geltungszeit des LMV bezieht. Aus der Funktion der Beschwerdegegnerin ergibt sich, dass deren Aufgabe erst mit Abschluss der die Geltungsdauer des LMV betreffenden Verfahren beendet ist. Vor diesem Hintergrund ist die Befristung der Vollmachten auf die Geltungsdauer des LMV funktional und nicht zeitlich zu verstehen. Es kann nicht die Absicht der Parteien gewesen sein, die Vollmacht während laufenden Gerichtsverfahren entfallen zu lassen. Der diesbezügliche Einwand des Beschwerdeführers ist unbegründet.</w:t>
      </w:r>
    </w:p>
    <w:p>
      <w:r>
        <w:rPr>
          <w:b/>
        </w:rPr>
        <w:t>E. 4.4</w:t>
      </w:r>
    </w:p>
    <w:p>
      <w:r>
        <w:t>Nicht stichhaltig ist auch der Einwand, die Beschwerdegegnerin hätte bereits die Konventionalstrafe nur im Namen der Vertragsparteien verhängen können. Gemäss LMV ist die paritätische Kommission selbst berechtigt, die Konventionalstrafe zu verhängen. Dass sie den LMV im Namen der Vertragsparteien durchsetzt, ergibt sich bereits aus ihrer im LMV umschriebenen Funktion.</w:t>
      </w:r>
    </w:p>
    <w:p>
      <w:r>
        <w:rPr>
          <w:b/>
        </w:rPr>
        <w:t>E. 4.5</w:t>
      </w:r>
    </w:p>
    <w:p>
      <w:r>
        <w:t>Nach der Rechtsprechung des Bundesgerichts sind die Vertragsparteien eines Gesamtarbeitsvertrages in der Ausgestaltung der Kontrolle des Verhältnisses zwischen Arbeitgeber und Arbeitnehmer frei ( BGE 134 III 541 E. 4.3 S. 546). Die Frage, ob es zulässig ist, den Anspruch auf die Konventionalstrafe an die paritätische Berufskommission abzutreten oder ihr zumindest das Recht einzuräumen, diesen im Rahmen einer Prozessstandschaft im eigenen Namen gerichtlich durchzusetzen, wird in Lehre und Rechtsprechung unterschiedlich beantwortet (STREIFF/VON KAENEL, Arbeitsvertrag, 6. Aufl. 2006, N. 5 zu Art. 357b OR mit Hinweisen; vgl. auch VISCHER/ALBRECHT, Zürcher Kommentar, 4. Aufl. 2006, N. 13 zu Art. 357b OR ). Sie stellt sich aber nur, wenn gemäss dem Gesamtarbeitsvertrag der paritätischen Berufskommission entsprechende Kompetenzen zugewiesen werden sollen. Ob dies hier der Fall ist, scheint zweifelhaft. BGE 137 III 556 S. 561</w:t>
      </w:r>
    </w:p>
    <w:p>
      <w:r>
        <w:rPr>
          <w:b/>
        </w:rPr>
        <w:t>E. 4.5.1</w:t>
      </w:r>
    </w:p>
    <w:p>
      <w:r>
        <w:t>Art. 76 Abs. 1 LMV /2005 ermächtigt die lokale paritätische Berufskommission zwar ausdrücklich, den LMV während seiner Gültigkeit zu vollziehen. Gemäss Abs. 3 lit. a dieses Artikels hat die lokale paritätische Berufskommission die arbeitsvertraglichen Bestimmungen des LMV aber auftrags und namens der LMV-Vertragsparteien durchzusetzen. Im LMV oder in einer anderen Vereinbarung können zwar andere Lösungen getroffen werden. Als Ausnahme von der Regel müsste sich dies aber klar ergeben. Die Vorinstanz selbst hält den Wortlaut des LMV aber für unklar. Gerade anschliessend an den Auftrag zum Vollzug namens der Vertragsparteien wird in lit. b als Beispiel das Durchführen der Untersuchungen über das Arbeitsverhältnis erwähnt. Art. 79 LMV regelt schliesslich die Sanktionen, bestimmt aber nicht, die Sanktionen seien im Namen der paritätischen Berufskommission gerichtlich durchzusetzen, sondern knüpft in Abs. 4 an das Bestehen der erforderlichen Ermächtigung an.</w:t>
      </w:r>
    </w:p>
    <w:p>
      <w:r>
        <w:rPr>
          <w:b/>
        </w:rPr>
        <w:t>E. 4.5.2</w:t>
      </w:r>
    </w:p>
    <w:p>
      <w:r>
        <w:t>Darüber hinaus ist nicht ersichtlich, inwiefern ein Vorgehen im Namen der Parteien des LMV mit Schwierigkeiten verbunden sein sollte. Im LMV wird festgehalten, die Konventionalstrafe sei an die paritätische Berufskommission zu leisten, und festgesetzt, dass und wie diese den Betrag verwenden darf. Insoweit besteht auch bei einer Klage im Namen der Vertragsparteien wirtschaftlich kaum eine grössere Verflechtung, als wenn der Beschwerdegegnerin ein eigener Anspruch zuerkannt würde, mit einer Auflage betreffend die Verwendung der Einkünfte. Zur Ausstellung der notwendigen Vollmachten haben sich die Vertragsparteien in Art. 76 Abs. 2 LMV /2005 verpflichtet. Dass dieser Absatz nicht allgemeinverbindlich erklärt wurde, spielt keine Rolle, begründet er doch ohnehin nur zwischen den Vertragsparteien unter sich und gegenüber den lokalen paritätischen Berufskommissionen Rechte und Pflichten, an denen sich durch eine Allgemeinverbindlicherklärung nichts ändern würde. Art. 76 Abs. 2 LMV /2005 bekräftigt nur, was sich aus dem Wortlaut des allgemeinverbindlich erklärten Art. 76 Abs. 3 lit. a LMV /2005 ergibt, nämlich dass die Vertragsparteien ein Handeln der lokalen paritätischen Berufskommission in ihrem Namen vorsahen. Eine entsprechende Vollmacht wäre zudem wohl unabhängig von Abs. 2 der Bestimmung als im Auftrag zur Durchsetzung der Ansprüche namens der LMV-Vertragsparteien enthalten anzusehen.</w:t>
      </w:r>
    </w:p>
    <w:p>
      <w:r>
        <w:rPr>
          <w:b/>
        </w:rPr>
        <w:t>E. 4.6</w:t>
      </w:r>
    </w:p>
    <w:p>
      <w:r>
        <w:t>Die Frage braucht indessen nicht abschliessend behandelt zu werden. Aus Art. 79 Abs. 5 LMV /2005 geht ausdrücklich hervor, BGE 137 III 556 S. 562 dass die Konventionalstrafe an die paritätische Berufskommission, also die Beschwerdegegnerin zu bezahlen ist. Der Beschwerdeführer weist selbst darauf hin, die Beschwerdegegnerin habe im Prozess zum Teil ausgeführt, sie handle im Namen der Vertragsparteien. Gestützt auf die erteilten Vollmachten müssen sich die Vertragsparteien des LMV das Verhalten der Beschwerdegegnerin entgegenhalten lassen. Daher könnten sie, auch wenn die Beschwerdegegnerin zu Unrecht im eigenen Namen geklagt haben sollte, vom Beschwerdeführer nicht nochmals Zahlung verlangen. Entgegen seiner Auffassung würde der Beschwerdeführer durch Zahlung an die Beschwerdegegnerin in jedem Fall befreit. Ob die Konventionalstrafe als eigener Anspruch der Beschwerdegegnerin angesehen wird oder nicht, ändert nichts daran, dass der Beschwerdeführer an diese leisten muss und durch die Leistung befreit wird. Der Beschwerdeführer zeigt nicht auf, inwiefern er unter diesen Umständen ein schützenswertes Interesse an der Klärung der Frage hat, ob der Anspruch formell auf die Beschwerdegegnerin übergegangen ist. Es kann ihm gleichgültig sein, wem der Anspruch im Verhältnis der lokalen paritätischen Berufskommission zu den Vertragsparteien des LMV zusteht. Selbst wenn die Beschwerdegegnerin formell im Namen der LMV-Vertragspartner hätte klagen müssen, erweist sich die Einwendung des Beschwerdeführers als blosse Schikane, um sich der in jedem Fall gegenüber der Beschwerdegegnerin zu erbringenden Zahlung zu entziehen. Dieses Verhalten verdient keinen Rechtsschutz.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