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529</w:t>
      </w:r>
    </w:p>
    <w:p>
      <w:r>
        <w:t>Bundesgericht (BGE), 2011-10-31, DE</w:t>
      </w:r>
    </w:p>
    <w:p>
      <w:r>
        <w:rPr>
          <w:b/>
        </w:rPr>
        <w:t xml:space="preserve">Quelle: </w:t>
      </w:r>
      <w:r>
        <w:t>https://mcp.opencaselaw.ch/entscheid/bge_BGE_137_III_529</w:t>
      </w:r>
    </w:p>
    <w:p>
      <w:r>
        <w:t>FR: ATF 137 III 529</w:t>
      </w:r>
    </w:p>
    <w:p>
      <w:r>
        <w:t>IT: DTF 137 III 529</w:t>
      </w:r>
    </w:p>
    <w:p>
      <w:pPr>
        <w:pStyle w:val="Heading2"/>
      </w:pPr>
      <w:r>
        <w:t>Regeste</w:t>
      </w:r>
    </w:p>
    <w:p>
      <w:r>
        <w:t>Regeste Art. 11 Abs. 2 HKÜ; Art. 8 Abs. 1 BG-KKE; Kindesrückführung; Beschleunigungsgebot. Organisation des Verfahrens vor dem Hintergrund der sechswöchigen Frist, namentlich mit Blick auf die Vermittlungsverhandlung bzw. Mediation (E. 2.2).</w:t>
      </w:r>
    </w:p>
    <w:p>
      <w:r>
        <w:t>Regeste Art. 11 al. 2 CLaH 80; art. 8 al. 1 LF-EEA; retour de l'enfant; principe de célérité. Organisation de la procédure sous l'angle du respect du délai de six semaines, eu égard notamment à l'obligation de procéder à la conciliation, respectivement à la médiation (consid. 2.2).</w:t>
      </w:r>
    </w:p>
    <w:p>
      <w:r>
        <w:t>Regesto Art. 11 cpv. 2 CArap; art. 8 cpv. 1 LF-RMA; ritorno del minore; principio di celerità. Organizzazione della procedura sotto il profilo del rispetto del termine di sei settimane, segnatamente con riferimento alla procedura di conciliazione rispettivamente alla mediazione (consid. 2.2).</w:t>
      </w:r>
    </w:p>
    <w:p>
      <w:pPr>
        <w:pStyle w:val="Heading2"/>
      </w:pPr>
      <w:r>
        <w:t>Erwägungen</w:t>
      </w:r>
    </w:p>
    <w:p>
      <w:r>
        <w:rPr>
          <w:b/>
        </w:rPr>
        <w:t>E. 2.2</w:t>
      </w:r>
    </w:p>
    <w:p>
      <w:r>
        <w:t>(...) Im Zusammenhang mit der vom Vater erwähnten 6-Wochen-Frist gemäss Art. 11 Abs. 2 des Haager Übereinkommens vom 25. Oktober 1980 über die zivilrechtlichen Aspekte internationaler Kindsentführung (HKÜ; SR 0.211.230.02) wird allerdings deutlich, dass dem von ihm angerufenen Beschleunigungsgebot bei Kindesrückführungen eine besondere Bedeutung zukommt. Zwar zeigt sich in der Praxis, dass die 6-Wochen-Frist im erstinstanzlichen Verfahren oft schwer einzuhalten ist, namentlich vor dem Hintergrund der Gehörsgewährung, und gemäss Konventionswortlaut kommt ihr denn auch explizit nur Richtliniencharakter zu. Indes ergibt sich aus dieser sowie aus den weiteren auf ein rasches Handeln zielenden Normen (Art. 1 lit a HKÜ: sofortige Rückgabe; Art. 2 HKÜ: schnellstmögliche Verfahren; Art. 11 Abs. 1 HKÜ: gebotene Eile), dass die notwendigen Instruktionsmassnahmen mit Vorteil in einer umgehend erlassenen Instruktionsverfügung zu kondensieren sind (nach Möglichkeit bereits verbunden mit der Ansetzung einer Vermittlungsverhandlung oder einer Schlussverhandlung für den Fall des Scheiterns einer Mediation, soweit eine solche Verhandlung angebracht erscheint) und insbesondere eine gestützt auf Art. 8 Abs. 1 des Bundesgesetzes vom 21. Dezember 2007 über internationale Kindesentführung und die Haager Übereinkommen zum Schutz von Kindern und Erwachsenen (BG-KKE; SR 211.222.32) gegebenenfalls angeordnete Mediation nicht quasi ausserhalb der vom HKÜ BGE 137 III 529 S. 531 vorgegebenen Richtlinienfrist stattfinden kann, ist sie doch Teil des erstinstanzlichen Rückführungsverfahrens. Auch bei Anordnung einer solchen ist mithin auf äusserste Speditivität zu achten und das Verfahren strikt in richterlicher Hand zu behalten. Eine allfällige Mediation ist deshalb in strukturierter Weise und, wie sich bereits aus der Botschaft zum BG-KKE ergibt (BBl 2007 2625 Ziff. 6.7), geknüpft an richterlich vorgegebene Fristen anzuordnen (beispielsweise drei Sitzungen innerhalb einer Woche oder Sitzungen an zwei aufeinanderfolgenden Wochenenden und begründete Benachrichtigung des Rückführungsgerichtes bzw. begründetes Ersuchen um Fristverlängerung, falls noch kein Resultat erzielt worden, aber ein solches in absehbarer Zeit zu erwarten ist und die Mediation deshalb weitergeführt werden sollte). Ferner ist zu beachten, dass sich der Zweck einer Mediation darauf beschränkt, die freiwillige Rückführung des Kindes zu erreichen oder eine gütliche Regelung der Angelegenheit herbeizuführen ( Art. 8 Abs. 1 BG-KKE ), sie aber insbesondere nicht der Abklärung von irgendwelchen Sachverhaltselementen dient.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