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289</w:t>
      </w:r>
    </w:p>
    <w:p>
      <w:r>
        <w:t>Bundesgericht (BGE), 2011-06-07, DE</w:t>
      </w:r>
    </w:p>
    <w:p>
      <w:r>
        <w:rPr>
          <w:b/>
        </w:rPr>
        <w:t xml:space="preserve">Quelle: </w:t>
      </w:r>
      <w:r>
        <w:t>https://mcp.opencaselaw.ch/entscheid/bge_BGE_137_III_289</w:t>
      </w:r>
    </w:p>
    <w:p>
      <w:r>
        <w:t>FR: ATF 137 III 289</w:t>
      </w:r>
    </w:p>
    <w:p>
      <w:r>
        <w:t>IT: DTF 137 III 289</w:t>
      </w:r>
    </w:p>
    <w:p>
      <w:pPr>
        <w:pStyle w:val="Heading2"/>
      </w:pPr>
      <w:r>
        <w:t>Regeste</w:t>
      </w:r>
    </w:p>
    <w:p>
      <w:r>
        <w:t>Regeste Fürsorgerische Freiheitsentziehung; Gutachten eines Sachverständigen. Suchtkranke gelten als psychisch Kranke im Sinne von Art. 397e Ziff. 5 ZGB. Es kann somit nicht ohne Einholung eines Sachverständigengutachtens über ein Gesuch der betroffenen Person um Entlassung aus der Anstalt entschieden werden (E. 4.1-4.3). Anforderungen an die begutachtende Person und an das Gutachten (E. 4.4 und 4.5).</w:t>
      </w:r>
    </w:p>
    <w:p>
      <w:r>
        <w:t>Regeste Privation de liberté à des fins d'assistance; expertise. Les personnes souffrant de dépendance sont des malades psychiques au sens de l'art. 397e ch. 5 CC. Il ne peut ainsi être statué qu'avec le concours d'experts sur une demande de libération de la personne placée dans un établissement (consid. 4.1-4.3). Exigences requises quant à la personne de l'expert et au rapport d'expertise (consid. 4.4 et 4.5).</w:t>
      </w:r>
    </w:p>
    <w:p>
      <w:r>
        <w:t>Regesto Privazione della libertà a scopo d'assistenza; perizia. Le persone affette da dipendenza sono dei malati psichici ai sensi dell'art. 397e n. 5 CC. Non si può pertanto decidere su una domanda della persona interessata di rilascio dallo stabilimento senza l'allestimento di una perizia (consid. 4.1-4.3). Requisiti circa il perito e la perizia (consid. 4.4 e 4.5).</w:t>
      </w:r>
    </w:p>
    <w:p>
      <w:pPr>
        <w:pStyle w:val="Heading2"/>
      </w:pPr>
      <w:r>
        <w:t>Erwägungen</w:t>
      </w:r>
    </w:p>
    <w:p>
      <w:r>
        <w:rPr>
          <w:b/>
        </w:rPr>
        <w:t>E. 4.1</w:t>
      </w:r>
    </w:p>
    <w:p>
      <w:r>
        <w:t>Die Beschwerdeführerin macht geltend, aus der behaupteten Verwahrlosung, dem Wohnungsbrand und dem Vorfall vom 2. Februar 2011 ziehe das Appellationsgericht den Schluss, sie leide BGE 137 III 289 S. 291 unter einer Geisteskrankheit im Sinn von Art. 397a Abs. 1 ZGB . Mit der Erwägung, sie sei nicht mehr in der Lage, vernünftig zu denken, spreche ihr das Appellationsgericht überdies die Urteilsfähigkeit ab. Das Appellationsgericht hätte daher gestützt auf Art. 397e Ziff. 5 ZGB ein Gutachten einholen müssen, zumal schon die erste Instanz (die fürsorgerisch die Freiheit entziehende Behörde im Sinn von Art. 397b Abs. 1 ZGB ) kein Gutachten eingeholt habe. Das Appellationsgericht weist in seiner Vernehmlassung darauf hin, die Beschwerdeführerin sei nicht wegen Geisteskrankheit eingewiesen worden, womit sich die Einholung eines Gutachtens erübrigt habe.</w:t>
      </w:r>
    </w:p>
    <w:p>
      <w:r>
        <w:rPr>
          <w:b/>
        </w:rPr>
        <w:t>E. 4.2</w:t>
      </w:r>
    </w:p>
    <w:p>
      <w:r>
        <w:t>Nach Art. 397e Ziff. 5 ZGB darf bei psychisch Kranken nur unter Beizug eines Sachverständigen entschieden werden. Psychisch Kranke im Sinne dieser Bestimmung können nicht nur Geisteskranke, sondern auch Geistesschwache, Suchtkranke oder völlig Verwahrloste im Sinne von Art. 397a Abs. 1 ZGB sein (Art. 397b Abs. 2 i.V.m. Art. 397e Ziff. 5 ZGB ; siehe zum Ganzen: Botschaft vom 17. August 1977 über die Änderung des Schweizerischen Zivilgesetzbuches[Fürsorgerische Freiheitsentziehung] und den Rückzug des Vorbehaltes zu Artikel 5 der Konvention zum Schutze derMenschenrechte und Grundfreiheiten, BBl 1977 III 31 Ziff. 222; EUGEN SPIRIG, Zürcher Kommentar, 1995, N. 167 zu Art. 397e ZGB i.V.m. N. 68 zu Art. 397b ZGB ; THOMAS GEISER, in: Basler Kommentar, Bd. I, 4. Aufl. 2010, N. 12 zu Art. 397 b ZGB ; ALEXANDER IMHOF, Der formelle Rechtsschutz, insbesondere die gerichtliche Beurteilung, bei der fürsorgerischen Freiheitsentziehung, 1999, S. 105 f.). Es handelt sich also um all jene Personen, die einerseits einen der fürsorgerischen Gründe gemäss Art. 397a Abs. 1 ZGB erfüllen und anderseits sinnvollerweise durch die Anstaltspsychiatrie betreut werden müssen. Eine derartige Betreuung drängt sich häufig auch bei Suchtkranken, insbesondere bei Alkoholikern oder Rauschgiftsüchtigen auf (Botschaft, a.a.O., 31 Ziff. 222). Aber auch die Bestimmungen über die fürsorgerische Unterbringung, welche jene über die fürsorgerische Freiheitsentziehung ersetzen werden, sehen in Art. 450e Abs. 3 ausdrücklich vor, dass bei psychischen Störungen gestützt auf das Gutachten einer sachverständigen Person entschieden werden muss. Dabei wird unter den Begriff der psychischen Störung auch die Alkohol-, Drogen- und Medikamentensucht subsumiert, da auch diese Suchterkrankungen von den Fachleuten als psychische Störungen verstanden werden (Botschaft vom 28. Juni BGE 137 III 289 S. 292 2006 zur Änderung des Schweizerischen Zivilgesetzbuches [Erwachsenenschutz, Personenrecht und Kindesrecht], BBl 2006 7001,7043 Ziff. 2.2.2). Im vorliegenden Fall lässt sich dem angefochtenen Urteil entnehmen, dass die Beschwerdeführerin an einem bedeutenden Alkoholproblem leidet, das sich zunehmend negativ auf ihren Lebensverlauf auswirkt.</w:t>
      </w:r>
    </w:p>
    <w:p>
      <w:r>
        <w:rPr>
          <w:b/>
        </w:rPr>
        <w:t>E. 4.3</w:t>
      </w:r>
    </w:p>
    <w:p>
      <w:r>
        <w:t>Entgegen der Ansicht des Appellationsgerichts kann somit die Einholung eines Gutachtens nicht mit dem Hinweis umgangen werden, die Anordnung der fürsorgerischen Freiheitsentziehung sei nicht wegen Geisteskrankheit erfolgt. Das Appellationsgericht hat als Gericht im Sinn von Art. 397d ZGB als einzige Instanz und ohne Einholung eines Sachverständigengutachtens entschieden, weshalb der angefochtene Entscheid Art. 397e Ziff. 5 ZGB verletzt (vgl. BGE 128 III 12 E. 3 und 4). Das kann aber nicht bedeuten, dass die Beschwerdeführerin ihrem Antrag entsprechend unverzüglich zu entlassen wäre. Die Beschwerde ist somit teilweise gutzuheissen, soweit darauf eingetreten werden kann. Der angefochtene Entscheid ist aufzuheben und es ist anzuordnen, dass die Beschwerdeführerin spätestens nach einer bestimmten Frist ab Zustellung des begründeten bundesgerichtlichen Urteils zu entlassen ist, wenn nicht innert dieser Frist ein den Anforderungen dieses Urteils entsprechender Entscheid gefällt wird. Da die Vorinstanz die Verhältnisse der Beschwerdeführerin von früheren Verfahren her kennt und nicht eine Zwangsmedikation infrage steht, rechtfertigt es sich, eine kurze Frist von 30 Tagen ab Zustellung des begründeten bundesgerichtlichen Urteils festzusetzen.</w:t>
      </w:r>
    </w:p>
    <w:p>
      <w:r>
        <w:rPr>
          <w:b/>
        </w:rPr>
        <w:t>E. 4.4</w:t>
      </w:r>
    </w:p>
    <w:p>
      <w:r>
        <w:t>Der Gutachter gemäss Art. 397e Ziff. 5 ZGB muss ein ausgewiesener Fachmann, aber auch unabhängig sein ( BGE 118 II 249 ; BGE 119 II 319 E. 2b S. 321 f.) und er darf sich nicht bereits im gleichen Verfahren über die Krankheit der betroffenen Person geäussert haben ( BGE 128 III 12 E. 4a S. 15). Nach der Rechtsprechung des Europäischen Gerichtshofs für Menschenrechte ist überdies mit der geforderten Unabhängigkeit des Sachverständigen nicht zu vereinbaren, dass ein Mitglied der entscheidenden Instanz (Fachrichter) gleichzeitig als Sachverständiger amtet (Urteil N.D. gegen Schweiz vom 29. März 2001, Recueil CourEDH 2001-III S. 21 § 53).</w:t>
      </w:r>
    </w:p>
    <w:p>
      <w:r>
        <w:rPr>
          <w:b/>
        </w:rPr>
        <w:t>E. 4.5</w:t>
      </w:r>
    </w:p>
    <w:p>
      <w:r>
        <w:t>Das gestützt auf Art. 397e Ziff. 5 ZGB anzuordnende Gutachten hat sich insbesondere über den Gesundheitszustand der Beschwerdeführerin zu äussern, ferner darüber, wie sich allfällige gesundheitliche Störungen hinsichtlich der Gefahr einer Selbst- oder BGE 137 III 289 S. 293 Drittgefährdung, aber auch der Verwahrlosung auswirken können und ob sich daraus ein Handlungsbedarf ergibt. Ferner ist durch den Gutachter zu prüfen, ob aufgrund des festgestellten Handlungsbedarfs eine stationäre Behandlung unerlässlich ist, schliesslich, ob eine Anstalt zur Verfügung steht und wenn ja, (nötigenfalls) warum die vorgeschlagene Anstalt für die Behandlung der Beschwerdeführerin infrage kommt (zum Inhalt des Gutachtens vgl. Urteil 5A_137/2008 vom 28. März 2008 E. 3). Aufgrund des Gutachtens muss das Appellationsgericht in der Lage sein, die sich aus Art. 397a Abs. 1 ZGB ergebenden Rechtsfragen zu beantworten, nämlich ob ein Schwächezustand im Sinn von Art. 397a Abs. 1 ZGB vorliegt, ferner, ob sich daraus ein Fürsorgebedarf für die Beschwerdeführerin ergibt, sodann, ob die erforderliche persönliche Fürsorge der Beschwerdeführerin nur stationär oder aber ambulant gewährt werden kann, schliesslich, ob im Fall einer erforderlichen stationären Behandlung die vorgeschlagene Anstalt als geeignet erscheint. Das Appellationsgericht wird die Beschwerdeführerin zum Gutachten anzuhören und danach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