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255</w:t>
      </w:r>
    </w:p>
    <w:p>
      <w:r>
        <w:t>Bundesgericht (BGE), 2011-03-29, DE</w:t>
      </w:r>
    </w:p>
    <w:p>
      <w:r>
        <w:rPr>
          <w:b/>
        </w:rPr>
        <w:t xml:space="preserve">Quelle: </w:t>
      </w:r>
      <w:r>
        <w:t>https://mcp.opencaselaw.ch/entscheid/bge_BGE_137_III_255</w:t>
      </w:r>
    </w:p>
    <w:p>
      <w:r>
        <w:t>FR: ATF 137 III 255</w:t>
      </w:r>
    </w:p>
    <w:p>
      <w:r>
        <w:t>IT: DTF 137 III 255</w:t>
      </w:r>
    </w:p>
    <w:p>
      <w:pPr>
        <w:pStyle w:val="Heading2"/>
      </w:pPr>
      <w:r>
        <w:t>Regeste</w:t>
      </w:r>
    </w:p>
    <w:p>
      <w:r>
        <w:t>Regeste Art. 697h Abs. 2 OR; Einsichtsrecht des Gläubigers. Voraussetzungen des Einsichtsrechts des Gläubigers einer Aktiengesellschaft (E. 4). Anforderungen hinsichtlich des Nachweises der Gläubigerstellung sowie des schutzwürdigen Interesses an der Einsichtnahme (E. 4.1.2). Kriterien der Schutzwürdigkeit des geltend gemachten Interesses (E. 4.1.3). Beurteilung des Einsichtsinteresses im konkreten Fall (E. 4.2).</w:t>
      </w:r>
    </w:p>
    <w:p>
      <w:r>
        <w:t>Regeste Art. 697h al. 2 CO; droit du créancier à la consultation des comptes. Conditions du droit du créancier d'une société anonyme à la consultation des comptes (consid. 4). Exigences en matière de preuve de la qualité de créancier ainsi que de l'intérêt digne de protection à la consultation (consid. 4.1.2). Critères applicables pour juger du caractère digne de protection de l'intérêt invoqué (consid. 4.1.3). Examen de l'intérêt à la consultation dans le cas particulier (consid. 4.2).</w:t>
      </w:r>
    </w:p>
    <w:p>
      <w:r>
        <w:t>Regesto Art. 697h cpv. 2 CO; diritto di consultazione del creditore. Condizioni del diritto di consultazione del creditore di una società anonima (consid. 4). Esigenze concernenti la prova della qualità di creditore e dell'interesse degno di protezione alla consultazione (consid. 4.1.2). Criteri per stabilire se l'interesse fatto valere è degno di protezione (consid. 4.1.3). Giudizio sull'interesse alla consultazione nel caso concreto (consid. 4.2).</w:t>
      </w:r>
    </w:p>
    <w:p>
      <w:pPr>
        <w:pStyle w:val="Heading2"/>
      </w:pPr>
      <w:r>
        <w:t>Erwägungen</w:t>
      </w:r>
    </w:p>
    <w:p>
      <w:r>
        <w:rPr>
          <w:b/>
        </w:rPr>
        <w:t>E. 4</w:t>
      </w:r>
    </w:p>
    <w:p>
      <w:r>
        <w:t>Die Beschwerdeführerin wirft der Vorinstanz eine unrichtige Anwendung von Art. 697h Abs. 2 OR vor.</w:t>
      </w:r>
    </w:p>
    <w:p>
      <w:r>
        <w:rPr>
          <w:b/>
        </w:rPr>
        <w:t>E. 4.1.1</w:t>
      </w:r>
    </w:p>
    <w:p>
      <w:r>
        <w:t>Gemäss Art. 697h Abs. 1 OR ist eine Aktiengesellschaft verpflichtet, Jahresrechnung und Konzernrechnung nach Abnahme durch die Generalversammlung mit den Revisionsberichten offenzulegen, wenn sie Anleihensobligationen ausstehend hat oder die Aktien der Gesellschaft an einer Börse kotiert sind. Die übrigen Aktiengesellschaften unterliegen keiner besonderen Offenlegungspflicht. Nach Abs. 2 von Art. 697h OR müssen sie jedoch den Gläubigern, die ein schutzwürdiges Interesse nachweisen, Einsicht in die Jahresrechnung, die Konzernrechnung und die Revisionsberichte gewähren.</w:t>
      </w:r>
    </w:p>
    <w:p>
      <w:r>
        <w:rPr>
          <w:b/>
        </w:rPr>
        <w:t>E. 4.1.2</w:t>
      </w:r>
    </w:p>
    <w:p>
      <w:r>
        <w:t>Der Gesuchsteller, der gegenüber einer Gesellschaft Einsicht verlangt, die den Kapitalmarkt nicht in Anspruch nimmt, hat grundsätzlich sowohl seine Gläubigerstellung als auch ein schutzwürdiges Interesse nachzuweisen. Dem Entscheid über das Einsichtsrecht kommt, auch wenn er im summarischen Verfahren erfolgt, materielle Rechtskraft zu, weshalb es nicht ausreicht, die Anspruchsvoraussetzungen bloss glaubhaft zu machen ( BGE 120 II 352 E. 2b S. 355). Dennoch gilt es zu beachten, dass die Rechtsdurchsetzung nicht an Beweisschwierigkeiten scheitern darf, die typischerweise bei bestimmten Sachverhalten auftreten (vgl. BGE 130 III 321 E. 3.2 S. 324; BGE 128 III 271 E. 2b/aa S. 275), weshalb der Gesuchsteller seine Gläubigerstellung nach bundesgerichtlicher Rechtsprechung nicht strikte zu beweisen hat, sondern der Beweis als erbracht gilt, wenn diese mit hoher Wahrscheinlichkeit ausgewiesen ist (Urteile 4C.129/2004 vom 6. Juli 2004 E. 4.2.1; 4C.244/1995 vom 17. November 1995 E. 3b/aa; 4C.222/1994 vom 1. Dezember 1994 E. 4a, in: SJ 1995 S. 306 f.; vgl. unter der Herrschaft von aArt. 704 OR bereits BGE 137 III 255 S. 258 BGE 111 II 281 E. 2 S. 282). Andernfalls könnte die Gesellschaft die Durchsetzung des Einsichtsrechts einfach durch Bestreitung der Forderung des gesuchstellenden Gläubigers verhindern (vgl. bereits WOLFHART BÜRGI, Zürcher Kommentar, 1969, N. 6 zu aArt. 704 OR). Für den Nachweis des schutzwürdigen Interesses gelten nach der Rechtsprechung grundsätzlich dieselben Anforderungen an das Beweismass (zit. Urteile 4C.129/2004 E. 4.2.1; 4C.222/1994 E. 4a, in: SJ 1995 S. 306 f.).</w:t>
      </w:r>
    </w:p>
    <w:p>
      <w:r>
        <w:rPr>
          <w:b/>
        </w:rPr>
        <w:t>E. 4.1.3</w:t>
      </w:r>
    </w:p>
    <w:p>
      <w:r>
        <w:t>Wann ein vom Gesuchsteller geltend gemachtes Interesse als schutzwürdig zu betrachten ist, kann nicht abschliessend umschrieben werden. Vielmehr ist unter Berücksichtigung der Umstände zu entscheiden, ob eine Interessenlage vorliegt, die eine Einsichtnahme des Gläubigers in die - ansonsten vertraulichen - Unterlagen im konkreten Fall rechtfertigt. Nicht ausreichend ist zunächst ein allgemeines Interesse, das sich aus dem blossen Umstand der Gläubigereigenschaft ergibt, zumal Art. 697h Abs. 2 OR mit dem Nachweis des schutzwürdigen Interesses ausdrücklich eine zusätzliche Voraussetzung vorsieht. Der Gesuchsteller hat vielmehr konkret aufzuzeigen, wozu ihm die durch die beantragte Einsicht gewonnene Information dienen soll. Nicht schützenswert wäre etwa eine Einsichtnahme lediglich zur Befriedigung der Neugierde, zur Kenntnisnahme von Geschäftsgeheimnissen (soweit dies aufgrund des beschränkten Umfangs der Einsicht überhaupt denkbar ist) oder zur Auskundschaftung von Konkurrenzverhältnissen. Demgegenüber liegt ein berechtigtes Einsichtsinteresse vor, wenn die Forderung gefährdet erscheint, also nicht fristgerecht beglichen wird, oder wenn andere Anzeichen vorliegen, die auf finanzielle Schwierigkeiten hindeuten (Botschaft vom 23. Februar 1983 über die Revision des Aktienrechts, BBl 1983 912; zit. Urteil 4C.129/2004 E. 4.2.1). Dabei muss der gesuchstellende Gläubiger nicht etwa Zahlungsschwierigkeiten der Gesellschaft, geschweige denn die Uneinbringlichkeit seiner Forderung beweisen, ansonsten das Einsichtsrecht nach Art. 697h Abs. 2 OR , das letztlich dem Gläubiger- sowie dem Systemschutz dient, regelmässig zu spät greifen und damit seinen Zweck verfehlen würde. Vielmehr muss ausreichen, wenn er konkrete Umstände nachweist, die sein Informationsbedürfnis in objektiver Hinsicht als schutzwürdig erscheinen lassen. Dazu sollte es genügen, wenn die auf konkreten Anzeichen beruhenden Zweifel des Gläubigers an der Zahlungsfähigkeit BGE 137 III 255 S. 259 der Gesellschaft als begründet zu erachten sind und sich nur durch die Einsicht in Jahresrechnung bzw. Konzernrechnung und Revisionsberichte (gegebenenfalls) beseitigen lassen. Bei der Beurteilung des schützenswerten Interesses an der Einsichtnahme sind demnach keine allzu strengen Massstäbe anzuwenden (vgl. bereits Botschaft, a.a.O., S. 913). Als schutzwürdig zu betrachten ist die Einsichtnahme auch regelmässig nach Einleitung eines nicht offensichtlich aussichtslosen Forderungsprozesses gegen die Gesellschaft (Botschaft, a.a.O., S. 913; zit. Urteil 4C.129/2004 E. 4.2.1; ROLF H. WEBER, in: Basler Kommentar, Obligationenrecht, Bd. II, 3. Aufl. 2008, N. 7 zu Art. 697h OR ; BIANCA PAULI, in: Commentaire romand, Code des obligations, Bd. II, 2008, N. 8 zu Art. 697h OR ) oder bereits nachdem konkrete Schritte im Hinblick auf eine Klageeinreichung unternommen worden sind (zit. Urteil 4C.244/1995 E. 3c). Auch wenn solche Umstände keine Schlüsse hinsichtlich der Einbringlichkeit der Forderung zulassen, ist die Einsichtnahme unmittelbar auf die Beurteilung der finanziellen Verhältnisse der Schuldnerin gerichtet und erlaubt dem klagenden Gläubiger die Abschätzung des Kostenrisikos. Dem Gläubiger kann ein schützenswertes Interesse daran, zunächst die Zahlungsfähigkeit der schuldnerischen Gesellschaft zu prüfen, bevor er allenfalls weitere Mittel für die Durchsetzung seiner Forderung aufwendet, kaum abgesprochen werden. Auch bei einer solchen Konstellation bedarf es jedoch einer Interessenabwägung im konkreten Fall. Bei einer blossen Bagatellforderung etwa wird ein schützenswertes Interesse an einer vorhergehenden Einsichtnahme tendenziell eher zu bezweifeln sein (vgl. PETER V. KUNZ, Transparenz für den Gläubiger der Aktiengesellschaft, SJZ 99/2003 S. 59 f.). Ebenso wenig würde die Einleitung eines Prozesses mit dem blossen Zweck, Einsicht in die Geschäftsunterlagen des Prozessgegners zu erlangen, einen Einsichtsanspruch begründen.</w:t>
      </w:r>
    </w:p>
    <w:p>
      <w:r>
        <w:rPr>
          <w:b/>
        </w:rPr>
        <w:t>E. 4.2</w:t>
      </w:r>
    </w:p>
    <w:p>
      <w:r>
        <w:t>Die Gläubigereigenschaft der Beschwerdegegnerin ist im zu beurteilenden Fall nicht mehr Gegenstand des Beschwerdeverfahrens. Strittig ist nurmehr die Anspruchsvoraussetzung des schutzwürdigen Interesses nach Art. 697h Abs. 2 OR .</w:t>
      </w:r>
    </w:p>
    <w:p>
      <w:r>
        <w:rPr>
          <w:b/>
        </w:rPr>
        <w:t>E. 4.2.1</w:t>
      </w:r>
    </w:p>
    <w:p>
      <w:r>
        <w:t>Die Beschwerdeführerin hat, nachdem der Beschwerdegegnerin für den Betrag von Fr. 1'268'307.60 nebst Zins provisorische Rechtsöffnung erteilt worden war, Aberkennungsklage gegen die Beschwerdegegnerin erhoben. Angesichts der Kosten, die bei einem BGE 137 III 255 S. 260 ordentlichen Zivilprozess anfallen, der sich möglicherweise über mehrere Instanzen hinziehen kann, hat die Beschwerdegegnerin ein legitimes Interesse daran, ihr Kostenrisiko abschätzen zu können, zumal selbst eine allenfalls von der Beschwerdeführerin zu leistende Sicherheit für die zu erwartende Parteientschädigung kaum sämtliche Kosten decken würde, die für die Prozessführung anfallen. Die Beschwerdegegnerin hat ein schutzwürdiges Interesse daran, vorab abschätzen zu können, ob sie im Fall ihres Obsiegens überhaupt mit der Befriedigung ihrer Forderung rechnen kann. Entgegen dem, was die Beschwerdeführerin anzunehmen scheint, ist der Umfang der von der Beschwerdegegnerin geltend gemachten Forderung bei der Beurteilung der Anspruchsvoraussetzung des schutzwürdigen Interesses immerhin insofern zu berücksichtigen, als dieser das Vorliegen einer blossen Bagatellforderung ausschliesst. Die Beschwerdeführerin hat zudem keine Umstände aufgezeigt, aus denen auf eine zweckwidrige Einsicht in die nach Art. 697h Abs. 2 OR vorgesehenen Geschäftsunterlagen zu schliessen wäre.</w:t>
      </w:r>
    </w:p>
    <w:p>
      <w:r>
        <w:rPr>
          <w:b/>
        </w:rPr>
        <w:t>E. 4.2.2</w:t>
      </w:r>
    </w:p>
    <w:p>
      <w:r>
        <w:t>Die Vorinstanz hat zudem in tatsächlicher Hinsicht ohne Verletzung des Willkürverbots festgestellt, es sei als sehr wahrscheinlich zu betrachten, dass die wiederholte Anpassung der Zahlungsmodalitäten in Anhang 4 zum Rahmenvertrag im Verlauf des Jahres 2008 ihren Grund in den Zahlungsschwierigkeiten der Beschwerdeführerin hatte. Damit hat sich die Vorinstanz entgegen der Ansicht der Beschwerdeführerin nicht mit einem blossen Glaubhaftmachen zufriedengegeben, sondern bewegt sich im Rahmen des vom Bundesgericht in seiner bisherigen Rechtsprechung als massgeblich erachteten Beweismasses. Die Vorinstanz hat Art. 697h Abs. 2 OR nicht verletzt, wenn sie angesichts der festgestellten Zahlungsschwierigkeiten der Beschwerdeführerin - auch unabhängig vom hängigen Aberkennungsprozess - ein schutzwürdiges Einsichtsinteresse der Beschwerdegegnerin bejahte. Insgesamt ist der Vorinstanz keine Verletzung von Art. 697h Abs. 2 OR vorzuwerfen, wenn sie dem Einsichtsgesuch der Beschwerdegegnerin stattgab.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