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235</w:t>
      </w:r>
    </w:p>
    <w:p>
      <w:r>
        <w:t>Bundesgericht (BGE), 2011-04-18, DE</w:t>
      </w:r>
    </w:p>
    <w:p>
      <w:r>
        <w:rPr>
          <w:b/>
        </w:rPr>
        <w:t xml:space="preserve">Quelle: </w:t>
      </w:r>
      <w:r>
        <w:t>https://mcp.opencaselaw.ch/entscheid/bge_BGE_137_III_235</w:t>
      </w:r>
    </w:p>
    <w:p>
      <w:r>
        <w:t>FR: ATF 137 III 235</w:t>
      </w:r>
    </w:p>
    <w:p>
      <w:r>
        <w:t>IT: DTF 137 III 235</w:t>
      </w:r>
    </w:p>
    <w:p>
      <w:pPr>
        <w:pStyle w:val="Heading2"/>
      </w:pPr>
      <w:r>
        <w:t>Regeste</w:t>
      </w:r>
    </w:p>
    <w:p>
      <w:r>
        <w:t>Regeste Art. 29 Abs. 2, Art. 99 Abs. 2 VZG; Schätzung des zu versteigernden Grundstücks. Bekanntmachung der Schätzung und Voraussetzungen zur Bestreitung (E. 3).</w:t>
      </w:r>
    </w:p>
    <w:p>
      <w:r>
        <w:t>Regeste Art. 29 al. 2, art. 99 al. 2 ORFI; estimation de l'immeuble à réaliser. Communication de l'estimation et conditions de la contestation (consid. 3).</w:t>
      </w:r>
    </w:p>
    <w:p>
      <w:r>
        <w:t>Regesto Art. 29 cpv. 2, art. 99 cpv. 2 RFF; stima del fondo da realizzare. Comunicazione della stima e presupposti per la contestazione (consid. 3).</w:t>
      </w:r>
    </w:p>
    <w:p>
      <w:pPr>
        <w:pStyle w:val="Heading2"/>
      </w:pPr>
      <w:r>
        <w:t>Erwägungen</w:t>
      </w:r>
    </w:p>
    <w:p>
      <w:r>
        <w:rPr>
          <w:b/>
        </w:rPr>
        <w:t>E. 3</w:t>
      </w:r>
    </w:p>
    <w:p>
      <w:r>
        <w:t>Weiter hat sich die obere Aufsichtsbehörde mit der Rüge befasst, wonach die Beschwerdeführerin das Gutachten über die amtliche Schätzung des zu verwertenden Grundstücks nicht erhalten habe. Die Vorinstanz hat erwogen, der Schätzungswert von Fr. 715'000.- sei der Beschwerdeführerin u.a. durch die Spezialanzeige vom 31. August 2010 hinreichend bekannt gegeben worden. Die Beschwerdeführerin kritisiert im Wesentlichen eine Verletzung von Art. 99 der Verordnung des Bundesgerichts vom 23. April 1920 über die Zwangsverwertung von Grundstücken (VZG; SR 281.42) und ihres Rechts auf eine Neuschätzung. BGE 137 III 235 S. 237</w:t>
      </w:r>
    </w:p>
    <w:p>
      <w:r>
        <w:rPr>
          <w:b/>
        </w:rPr>
        <w:t>E. 3.1</w:t>
      </w:r>
    </w:p>
    <w:p>
      <w:r>
        <w:t>Das Betreibungsamt kann das Ergebnis der betreibungsamtlichen Schätzung durch separate Mitteilung bekannt geben (vgl. BRAND, Die betreibungsrechtliche Zwangsverwertung von Grundstücken im Pfandverwertungsverfahren, 2008, S. 81 Ziff. 2.4). Es ist zu diesem Vorgehen nicht verpflichtet. Nach Art. 29 Abs. 2 VZG soll die Schätzung in der Bekanntmachung der Steigerung enthalten sein. Das Ergebnis der Schätzung ist gemäss Art. 99 Abs. 2 VZG nur dann, wenn es nicht in der Steigerungspublikation nach Art. 29 VZG aufgenommen wird , mit der Anzeige mitzuteilen, dass innerhalb der Beschwerdefrist bei der Aufsichtsbehörde eine neue Schätzung durch Sachverständige verlangt werden kann (GILLIÉRON, Commentaire de la loi fédérale sur la poursuite pour dettes et la faillite, Bd. II, 2000, N. 15 zu Art. 155 SchKG ). Die erwähnte Einschränkung ist nicht zufällig. Sie beruht auf dem Gedanken, dass bei Aufnahme der Schätzung in die Steigerungspublikation keine besondere Belehrung über die Möglichkeit, das Schätzungsergebnis bei der Aufsichtsbehörde zu bestreiten, erforderlich ist. Entsprechend sieht das (vom Betreibungsamt verwendete) Formular VZG 7a (Bekanntmachung der betreibungsrechtlichen Grundstücksteigerung) keinen besonderen Hinweis vor. Entgegen der Darstellung der Beschwerdeführerin genügt zur Auslösung des Verfahrens zur Neuschätzung (bzw. Aufforderung zum Kostenvorschuss) die blosse Bestreitung des Schätzungsergebnisses bei der Aufsichtsbehörde, m.a.W. ist keine Begründung notwendig ( BGE 133 III 537 E. 4.1; BGE 129 III 595 E. 3.1 S. 597; je mit Hinweisen).</w:t>
      </w:r>
    </w:p>
    <w:p>
      <w:r>
        <w:rPr>
          <w:b/>
        </w:rPr>
        <w:t>E. 3.2</w:t>
      </w:r>
    </w:p>
    <w:p>
      <w:r>
        <w:t>Vorliegend steht fest, dass das Betreibungsamt in der Steigerungspublikation (öffentliche Bekanntmachung vom 3./6. September 2010 und Spezialanzeige vom 31. August 2010) die betreibungsamtliche Schätzung (Fr. 715'000.-) mitgeteilt hat. Entgegen der Auffassung der Beschwerdeführerin musste das Betreibungsamt somit keine separate Mitteilung mit dem darin vorgesehenen Hinweis auf die Möglichkeit der Neuschätzung erlassen ( Art. 99 Abs. 2 VZG ). Mit unbestrittenem Empfang der Spezialanzeige ( Art. 139 SchKG ) gemäss Formular VZG 7a (Bekanntmachung der betreibungsrechtlichen Grundstücksteigerung) erlangte die Beschwerdeführerin Kenntnis von der betreibungsamtlichen Schätzung. Sodann ist unbestritten bzw. von der Beschwerdeführerin bestätigt, dass ihr das Lastenverzeichnis zusammen mit den Steigerungsbedingungen (Formular VZG 13 B) vom 30. September 2010 zugestellt worden sind, womit die betreibungsamtliche Schätzung bestätigt wurde. BGE 137 III 235 S. 238</w:t>
      </w:r>
    </w:p>
    <w:p>
      <w:r>
        <w:rPr>
          <w:b/>
        </w:rPr>
        <w:t>E. 3.3</w:t>
      </w:r>
    </w:p>
    <w:p>
      <w:r>
        <w:t>Nach Rechtsprechung und Lehre wird im Fall, dass keine separate Mitteilung des Schätzungsergebnisses erfolgt, die Frist zur Bestreitung der Schätzung mit Zustellung der Spezialanzeige ausgelöst ( BGE 122 III 338 E. 3c S. 340/341; GILLIÉRON, a.a.O., N. 15 zu Art. 155 SchKG ), in jedem Fall aber spätestens im Zeitpunkt der Zustellung der Steigerungsbedingungen mit Angabe des Schätzungsergebnisses ( BGE 122 III 338 E. 3c S. 340/341). Innert der zehntägigen Beschwerdefrist sind sämtliche Vorbringen gegen die Schätzung - Bestreitung des Ergebnisses sowie Verfahrensfehler - zu erheben ( BGE 133 III 537 E. 4.1). Dass die betreffenden zehntägigen Beschwerdefristen längst abgelaufen waren, als die Beschwerdeführerin am 4. November 2010 an die untere Aufsichtsbehörde gelangte, steht nicht in Frage. Die Vorinstanz hat zu Recht sämtliche Vorbringen der Beschwerdeführerin gegen die betreibungsamtliche Schätzung als verspätet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