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III 185</w:t>
      </w:r>
    </w:p>
    <w:p>
      <w:r>
        <w:t>Bundesgericht (BGE), 2011-05-17, FR</w:t>
      </w:r>
    </w:p>
    <w:p>
      <w:r>
        <w:rPr>
          <w:b/>
        </w:rPr>
        <w:t xml:space="preserve">Quelle: </w:t>
      </w:r>
      <w:r>
        <w:t>https://mcp.opencaselaw.ch/entscheid/bge_BGE_137_III_185</w:t>
      </w:r>
    </w:p>
    <w:p>
      <w:r>
        <w:t>FR: ATF 137 III 185</w:t>
      </w:r>
    </w:p>
    <w:p>
      <w:r>
        <w:t>IT: DTF 137 III 185</w:t>
      </w:r>
    </w:p>
    <w:p>
      <w:pPr>
        <w:pStyle w:val="Heading2"/>
      </w:pPr>
      <w:r>
        <w:t>Regeste</w:t>
      </w:r>
    </w:p>
    <w:p>
      <w:r>
        <w:t>Regeste Art. 122 ZPO; Entschädigung des unentgeltlichen Rechtsbeistands. Der Bundesgesetzgeber hat darauf verzichtet, in der ZPO die Entschädigung des unentgeltlichen Rechtsanwalts zu regeln und den Grundsatz der vollen Entschädigung durchzusetzen. Art. 122 ZPO verlangt lediglich, die Entschädigung müsse angemessen sein. Die in der Rechtsprechung vor Vereinheitlichung des Zivilprozessrechts entwickelten Grundsätze (BGE 132 I 201) behalten im Rahmen von Art. 122 ZPO ihre volle Gültigkeit (E. 5.2 und 5.3). Die gemäss dem Reglement des Kantons Waadt über die unentgeltliche Rechtspflege in Zivilsachen auf den patentierten Anwalt und den Volontär anwendbaren Stundenansätze genügen den bundesrechtlichen Anforderungen (E. 5.4 und 6).</w:t>
      </w:r>
    </w:p>
    <w:p>
      <w:r>
        <w:t>Regeste Art. 122 CPC; rémunération du conseil juridique commis d'office. Le législateur fédéral a renoncé à réglementer dans le CPC la rémunération de l'avocat commis d'office et à imposer le principe d'une pleine indemnisation. L'art. 122 CPC requiert tout au plus que l'indemnité soit équitable. Les principes arrêtés dans une jurisprudence antérieure à l'unification de la procédure civile (ATF 132 I 201) gardent toute leur validité dans le cadre de l'art. 122 CPC (consid. 5.2 et 5.3). Les tarifs horaires applicables à l'avocat breveté et à l'avocat-stagiaire selon le règlement vaudois sur l'assistance judiciaire en matière civile satisfont aux exigences du droit fédéral (consid. 5.4 et 6).</w:t>
      </w:r>
    </w:p>
    <w:p>
      <w:r>
        <w:t>Regesto Art. 122 CPC; remunerazione del patrocinatore d'ufficio. Il legislatore federale ha rinunciato a regolare nel CPC la remunerazione del patrocinatore d'ufficio e a imporre il principio di un pieno indennizzo. L'art. 122 CPC richiede al massimo che l'indennità sia equa. I principi sviluppati in una giurisprudenza anteriore all'unificazione della procedura (DTF 132 I 201) mantengono la loro integrale validità nel quadro dell'art. 122 CPC (consid. 5.2 e 5.3). Le tariffe orarie applicabili agli avvocati patentati e ai praticanti secondo il regolamento vodese sull'assistenza giudiziaria in materia civile soddisfano le esigenze del diritto federale (consid. 5.4 e 6).</w:t>
      </w:r>
    </w:p>
    <w:p>
      <w:pPr>
        <w:pStyle w:val="Heading2"/>
      </w:pPr>
      <w:r>
        <w:t>Erwägungen</w:t>
      </w:r>
    </w:p>
    <w:p>
      <w:r>
        <w:rPr>
          <w:b/>
        </w:rPr>
        <w:t>E. 5</w:t>
      </w:r>
    </w:p>
    <w:p>
      <w:r>
        <w:t>Les recourants invoquent en premier lieu une violation de l' art. 122 CPC (RS 272), disposition qui prévoit que le conseil juridique commis d'office est rémunéré équitablement par le canton. Ils soutiennent que le tarif horaire de 180 fr. retenu à l'art. 2 al. 1 let. a RAJ/VD ne satisfait pas à cette obligation de rémunération équitable; le montant devrait être porté à 250 fr.</w:t>
      </w:r>
    </w:p>
    <w:p>
      <w:r>
        <w:rPr>
          <w:b/>
        </w:rPr>
        <w:t>E. 5.1</w:t>
      </w:r>
    </w:p>
    <w:p>
      <w:r>
        <w:t>Antérieurement au CPC, la fixation de l'indemnité allouée à l'avocat d'office pour son activité devant les juridictions cantonales relevait du droit cantonal. Le Tribunal fédéral a jugé que sous l'angle de l'interdiction constitutionnelle de l'arbitraire et de la garantie constitutionnelle de la liberté économique, la rémunération de l'avocat d'office - tenu par le droit fédéral d'accepter les mandats d'office dans le canton au registre duquel il est inscrit ( art. 12 let . g de la loi fédérale du 23 juin 2000 sur la libre circulation des avocats [LLCA; RS 935.61]) - pouvait être inférieure à celle du mandataire privé, à condition toutefois d'être équitable ( ATF 122 I 1 consid. 3a). Dans un arrêt rendu le 6 juin 2006 dans une cause argovienne, le Tribunal fédéral a quelque peu modifié sa pratique et précisé que pour être équitable, l'indemnité devait non seulement couvrir les frais généraux de l'avocat, mais devait en plus permettre d'obtenir un revenu modeste, qui ne soit pas uniquement symbolique. Se fondant sur une étude de la Fédération suisse des avocats (FSA) de 2005 dont il a déduit que les frais généraux des avocats s'élevaient en moyenne à 130 fr. par heure facturable, il a retenu que l'indemnité équitable devait au minimum être de 180 fr. par heure en moyenne suisse, des situations particulières dans les cantons pouvant justifier un montant plus haut ou plus bas. De la sorte, les avocats exécutant BGE 137 III 185 S. 188 souvent des mandats d'office et ayant en général des frais généraux en dessous de la moyenne à cause d'une infrastructure plus modeste pouvaient réaliser un gain de 60 à 70 fr. par heure, et les autres avocats un gain d'environ 30 fr., ce qui ne posait toutefois pas problème dès lors que les mandats d'office ne représentaient pour eux qu'une activité très accessoire ( ATF 132 I 201 spéc. consid. 8.7). Dans un arrêt du 4 décembre 2006 concernant le canton de Vaud, le Tribunal fédéral a jugé que le tarif horaire de 160 fr. était arbitrairement bas et a invité l'autorité cantonale à appliquer un tarif conforme à la nouvelle jurisprudence, en précisant qu'on ne voyait a priori pas en quoi il se justifierait de s'écarter du montant de 180 fr. pour un canton comme celui de Vaud (arrêt 1P.650/2006 consid. 2.4).</w:t>
      </w:r>
    </w:p>
    <w:p>
      <w:r>
        <w:rPr>
          <w:b/>
        </w:rPr>
        <w:t>E. 5.2</w:t>
      </w:r>
    </w:p>
    <w:p>
      <w:r>
        <w:t>A l'origine, l'avant-projet de CPC prévoyait que les cantons devaient allouer une pleine indemnité à l'avocat d'office. Cette proposition a été vivement critiquée en procédure de consultation au motif qu'elle empiétait sur les compétences cantonales en matière de tarifs; en outre, il a été pris acte de l'exigence principale des cantons, qui craignaient des charges financières supplémentaires liées à l'introduction de la procédure unifiée et entendaient qu'une telle réforme soit neutre au niveau des coûts. Le Conseil fédéral a dès lors proposé de laisser aux cantons la compétence de déterminer l'indemnité, celle-ci devant toutefois être équitable; il précisait de surcroît que l'avocat d'office ne pouvait pas exiger de l'assisté la différence entre le plein tarif et l'indemnité, sous-entendant ainsi que l'indemnité d'office peut être inférieure aux honoraires qui seraient dus en cas de mandat ordinaire (Message du 28 juin 2006 relatif au code de procédure civile suisse, FF 2006 6857 ch. 2.3 et 6914 ch. 5.8.4). La proposition a été adoptée sans autre discussion par les Chambres fédérales (BO 2007 CE 513, 2008 CN 944, 2008 CE 726). Le canton de Vaud a fixé la rémunération horaire de l'avocat d'office à 180 fr. l'heure (art. 2 al. 1 let. a RAJ/VD), montant manifestement repris de la jurisprudence précitée. Les cantons voisins de Fribourg (art. 57 al. 2 du Règlement du 30 novembre 2010 sur la justice [RJ; RSF 130.11]) et de Neuchâtel (art. 11 let. a du Règlement d'exécution du 20 décembre 2006 de la loi sur l'assistance pénale, civile et administrative [RELAPCA; RSN 161.31]) accordent également 180 fr. de l'heure, celui de Genève 200 fr., montant toutefois réduit de 15 % (à 170 fr.) au-delà de 5'000 fr. ( art. 16 al. 1 let . c et al. 3 du Règlement du 28 juillet 2010 sur l'assistance juridique et l'indemnisation BGE 137 III 185 S. 189 des conseils juridiques et défenseurs d'office en matière civile, administrative et pénale [RAJ/GE; RSG E 2 05.04]); quant au canton du Valais, il prévoit que l'avocat d'office a droit à 70 % des honoraires normalement dus à titre de dépens, mais au moins à une rémunération équitable au sens de la jurisprudence du Tribunal fédéral (art. 30 al. 1 de la loi du 11 février 2009 fixant le tarif des frais et dépens devant les autorités judiciaires ou administratives [LTar; RS/VS 173.8]).</w:t>
      </w:r>
    </w:p>
    <w:p>
      <w:r>
        <w:rPr>
          <w:b/>
        </w:rPr>
        <w:t>E. 5.3</w:t>
      </w:r>
    </w:p>
    <w:p>
      <w:r>
        <w:t>Le législateur n'a pas voulu réglementer l'indemnisation de l'avocat d'office dans le CPC ni imposer aux cantons des coûts plus importants que sous l'ancien droit. Il faut en déduire que les exigences de droit fédéral relatives au caractère équitable de l'indemnité n'ont pas été modifiées par le CPC. Les principes arrêtés par la jurisprudence en 2006 gardent dès lors toute leur validité dans le cadre de l' art. 122 CPC . Contrairement à ce que soutiennent les recourants, il ne découle pas de ces principes que l'indemnité doit au minimum correspondre à 60 % du tarif usuel des avocats du canton. L'arrêt de principe du 6 juin 2006 ne dit rien de tel. Il relève simplement qu'à l'époque, parmi les cantons n'allouant qu'une indemnité réduite, le canton du Valais était le plus restrictif et Lucerne le plus large en la fixant à 60 % respectivement 85 % de l'honoraire ordinaire ( ATF 132 I 201 consid. 7.3.1); en outre, ces pourcentages se référaient à l'honoraire dû à titre de dépens et non à l'honoraire que l'avocat de choix pouvait facturer à son mandant (cf. art. 29 al. 1 de la loi valaisanne du 14 mai 1998 fixant le tarif des frais et dépens devant les autorités judiciaires ou administratives, correspondant à l'actuel art. 30 al. 1 LTar; § 49 al. 2 et § 71 al. 2 de l'ordonnance lucernoise du 6 novembre 2003 sur les frais en matière civile, pénale et autres [Verordnung des Obergerichts über die Kosten in Zivil- und Strafverfahren sowie in weiteren Verfahren, Recueil chronologique 2003 334]). Dans la mesure où deux arrêts non publiés cités par les recourants (arrêts 6B_750/2007 du 14 avril 2008 et 6B_960/2008 du 22 janvier 2009) semblent déduire de la jurisprudence de 2006 que l'indemnité doit correspondre au moins à 60 % des honoraires dus à un mandataire choisi, ils ne sauraient être suivis. En outre, il est précisé sur le site internet de la recourante qu'il n'existe pas de tarif déterminé ou recommandé pour les honoraires des avocats vaudois; fixer l'indemnité horaire de l'avocat d'office en fonction d'un "tarif usuel" des BGE 137 III 185 S. 190 avocats vaudois serait dès lors problématique, même si la jurisprudence vaudoise se réfère à un tel tarif.</w:t>
      </w:r>
    </w:p>
    <w:p>
      <w:r>
        <w:rPr>
          <w:b/>
        </w:rPr>
        <w:t>E. 5.4</w:t>
      </w:r>
    </w:p>
    <w:p>
      <w:r>
        <w:t>Conformément aux principes établis par l'arrêt de 2006, il convient uniquement d'examiner si la rétribution horaire de 180 fr. permet aujourd'hui à l'avocat vaudois de couvrir ses frais et de réaliser en plus un revenu qui ne soit pas simplement symbolique. Le renchérissement d'environ 3 % depuis 2006, à lui seul, ne rend pas le montant de 180 fr. inéquitable. Il reste donc à rechercher si, en matière de frais, la situation des avocats vaudois est particulière et exige une indemnisation plus élevée, ou, en d'autres termes, si ces frais sont notablement plus importants qu'en moyenne nationale. A ce sujet, les recourants se réfèrent uniquement à l'étude que l'Université de Saint-Gall a réalisée pour la FSA, étude qu'ils ont produite en annexe de leur recours; il s'agit de l'étude sur laquelle le Tribunal fédéral avait fondé son arrêt de principe de 2006 (étude partiellement publiée, cf. FREY/BERGMANN, Studie Praxiskosten des Schweizerischen Anwaltsverbandes, Bericht, Université de Saint-Gall, Institut suisse des petites et moyennes entreprises, 31 mars 2005). Les frais professionnels de l'avocat y sont détaillés pour l'entier du pays (rubrique: total), pour cinq régions (Espace Mittelland, Suisse du Nord-Ouest, Suisse orientale, Vaud et Valais, Suisse centrale), quatre cantons (Berne, Genève, Tessin, Zurich) et trois régions linguistiques. Les recourants soutiennent que les frais généraux des études vaudoises étaient à l'époque déjà supérieurs aux moyennes énoncées dans l'étude. Ils estiment que les chiffres retenus pour la région Vaud et Valais ne sont pas pertinents, le coût de la vie dans l'arc lémanique vaudois où se trouvent la plupart des études vaudoises étant notoirement plus proche de celui de Genève que de celui du Valais. A leur avis, il faudrait se fonder sur les valeurs moyennes relevées pour la partie francophone du pays. Les recourants relèvent que selon l'étude saint-galloise, le total des frais généraux s'élevait en moyenne (valeurs médianes) à 216'066 fr. dans la partie francophone du pays et à 171'600 fr. dans la région Vaud et Valais. Les experts ont toutefois également constaté que les frais généraux moyens (valeur médiane) sur l'ensemble du pays atteignaient la somme de 218'872 fr. (étude précitée, p. 82 [partie non publiée]), soit un montant légèrement supérieur à celui de la seule partie francophone. En suivant les recourants et en retenant pour le BGE 137 III 185 S. 191 canton de Vaud les chiffres relevés pour l'ensemble de la partie francophone du pays, il ne peut alors qu'être constaté que la situation vaudoise ne diffère pas de la moyenne suisse. La même constatation s'impose si l'on ajoute, comme le font les recourants, d'autres charges telles que téléphones, frais de voyage et de formation continue; la moyenne suisse (valeur médiane) est alors de 245'713 fr., contre 244'426 fr. pour la région francophone. L'objection des recourants selon laquelle les frais des avocats vaudois étaient dès le départ supérieurs aux moyennes énoncées dans l'étude saint-galloise n'est donc pas pertinente; ils font référence aux chiffres de la région Vaud et Valais qui n'ont cependant pas été retenus dans l'arrêt de 2006 et qui n'ont joué aucun rôle pour arrêter le montant de l'indemnité horaire à 180 fr. En résumé, les recourants ne démontrent pas de situation particulière dans le canton de Vaud par rapport à celle de la moyenne du pays. La rémunération horaire de 180 fr. reprise de l'arrêt de 2006 peut dès lors être considérée comme équitable.</w:t>
      </w:r>
    </w:p>
    <w:p>
      <w:r>
        <w:rPr>
          <w:b/>
        </w:rPr>
        <w:t>E. 6</w:t>
      </w:r>
    </w:p>
    <w:p>
      <w:r>
        <w:t>Les recourants contestent également le tarif horaire de 110 fr. pour les avocats-stagiaires (art. 2 al. 1 let. b RAJ/VD). L'avocat-stagiaire se trouve en formation, ce qui peut l'amener à passer plus de temps qu'un avocat expérimenté à procéder à certaines démarches. En outre, il ne perçoit qu'une rétribution modeste; selon les recourants, le revenu mensuel minimum de l'avocat-stagiaire vaudois est de 2'500 fr. Ces circonstances ne sauraient être ignorées lorsqu'il s'agit de fixer le tarif horaire sur la base duquel le maître de stage, commis d'office, peut demander à être indemnisé pour les tâches qu'il a déléguées à son stagiaire; le tarif horaire de l'avocat-stagiaire ne saurait être le même que celui de l'avocat breveté (cf. ATF 109 Ia 107 consid. 3e; arrêt 5D_175/2008 du 6 février 2009 consid. 4). Les recourants en conviennent et estiment adéquat de réduire le tarif horaire de l'avocat breveté d'un tiers pour les stagiaires. En cela, ils ne divergent pas réellement de la solution retenue par l'art. 2 RAJ/VD prévoyant une réduction de quatre dixièmes. Les recourants requièrent une hausse du tarif horaire des avocats-stagiaires à 160 fr. uniquement en corrélation avec un tarif horaire augmenté à 250 fr. pour les avocats brevetés; dès lors que ce dernier montant n'est pas retenu, on ne saurait en déduire le montant à verser - par application d'une fraction précitée - pour l'activité d'un avocat-stagiaire. Les recourants ne font pas valoir d'autre motif BGE 137 III 185 S. 192 d'augmenter ce tarif horaire et ne tentent pas de démontrer ni a fortiori ne démontrent que le montant de 110 fr. retenu à l'art. 2 al. 1 let. b RAJ/VD contreviendrait aux exigences d'une indemnité équitable au sens de la jurisprudence de 2006. Il n'y a donc pas à examiner la question plus avant.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