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153</w:t>
      </w:r>
    </w:p>
    <w:p>
      <w:r>
        <w:t>Bundesgericht (BGE), 2011-04-01, DE</w:t>
      </w:r>
    </w:p>
    <w:p>
      <w:r>
        <w:rPr>
          <w:b/>
        </w:rPr>
        <w:t xml:space="preserve">Quelle: </w:t>
      </w:r>
      <w:r>
        <w:t>https://mcp.opencaselaw.ch/entscheid/bge_BGE_137_III_153</w:t>
      </w:r>
    </w:p>
    <w:p>
      <w:r>
        <w:t>FR: ATF 137 III 153</w:t>
      </w:r>
    </w:p>
    <w:p>
      <w:r>
        <w:t>IT: DTF 137 III 153</w:t>
      </w:r>
    </w:p>
    <w:p>
      <w:pPr>
        <w:pStyle w:val="Heading2"/>
      </w:pPr>
      <w:r>
        <w:t>Regeste</w:t>
      </w:r>
    </w:p>
    <w:p>
      <w:r>
        <w:t>Regeste Art. 973 Abs. 1 ZGB; guter Glaube in das Grundbuch; Wegrecht; Zugang durch einen Tunnel. Der tatsächliche, nach aussen sichtbare physische Zustand des Grundstücks kann den guten Glauben des Erwerbers in das Grundbuch zerstören. Wird Inhalt und Umfang eines Wegrechts durch eine bauliche Anlage wie hier einen Tunnel bestimmt, kann sich der Dritterwerber des berechtigten Grundstücks weder auf den allgemein gehaltenen Grundbucheintrag "Wegrecht" noch auf ein Wegrecht gemäss dem Dienstbarkeitsvertrag berufen (E. 4 und 5).</w:t>
      </w:r>
    </w:p>
    <w:p>
      <w:r>
        <w:t>Regeste Art. 973 al. 1 CC; bonne foi attachée au registre foncier; droit de passage; accès par un tunnel. L'état physique réel et extérieurement visible d'un bien-fonds peut faire échec à la bonne foi de l'acquéreur dans le registre foncier. Si le contenu et l'étendue d'un droit de passage est déterminé par une installation, comme ici un tunnel, le tiers acquéreur du fonds dominant ne peut se prévaloir ni de l'inscription générale "droit de passage" figurant au registre foncier, ni du droit de passage décrit dans le contrat de servitude (consid. 4 et 5).</w:t>
      </w:r>
    </w:p>
    <w:p>
      <w:r>
        <w:t>Regesto Art. 973 cpv. 1 CC; buona fede fondata sul registro fondiario; diritto di passo; accesso tramite una galleria. Lo stato fisico reale e visibile esternamente di un fondo può prevalere sulla buona fede dell'acquirente basata sul registro fondiario. Se il contenuto e l'estensione di un diritto di passo sono determinati da un'istallazione, nella fattispecie una galleria, il terzo acquirente del fondo dominante non può prevalersi né dell'iscrizione "diritto di passo" formulata in maniera generale a registro fondiario né di un diritto di passo giusta il contratto di servitù (consid. 4 e 5).</w:t>
      </w:r>
    </w:p>
    <w:p>
      <w:pPr>
        <w:pStyle w:val="Heading2"/>
      </w:pPr>
      <w:r>
        <w:t>Erwägungen</w:t>
      </w:r>
    </w:p>
    <w:p>
      <w:r>
        <w:rPr>
          <w:b/>
        </w:rPr>
        <w:t>E. 4</w:t>
      </w:r>
    </w:p>
    <w:p>
      <w:r>
        <w:t>Der Beschwerdeführer rügt die obergerichtliche Annahme als bundesrechtswidrig, er müsse sich das Wegrecht im Zustand zur Zeit seines Erwerbs im Jahre 2008 entgegenhalten lassen und dürfe sich nicht auf das ursprüngliche Wegrecht gemäss Vertrag von 1952 berufen. Der Beschwerdeführer macht geltend, er sei in seinem guten Glauben in die unzweideutige Eintragung "Wegrecht" im Grundbuch zu schützen und beim Kauf der Liegenschaft nicht verpflichtet gewesen, die Grundbuchbelege, hier den Dienstbarkeitsvertrag vom 17. Juli 1952, zu konsultieren.</w:t>
      </w:r>
    </w:p>
    <w:p>
      <w:r>
        <w:rPr>
          <w:b/>
        </w:rPr>
        <w:t>E. 4.1</w:t>
      </w:r>
    </w:p>
    <w:p>
      <w:r>
        <w:t>Die Bedeutung der Eintragung im Grundbuch gegenüber gutgläubigen Dritten ist im Gesetz wie folgt geregelt: Wer sich in gutem Glauben auf einen Eintrag im Grundbuch verlassen und daraufhin Eigentum oder andere dingliche Rechte erworben hat, ist in diesem Erwerbe zu schützen ( Art. 973 Abs. 1 ZGB ). Wo das Gesetz eine Rechtswirkung an den guten Glauben einer Person knüpft, ist dessen Dasein zu vermuten ( Art. 3 Abs. 1 ZGB ).</w:t>
      </w:r>
    </w:p>
    <w:p>
      <w:r>
        <w:rPr>
          <w:b/>
        </w:rPr>
        <w:t>E. 4.1.1</w:t>
      </w:r>
    </w:p>
    <w:p>
      <w:r>
        <w:t>Aus der gesetzlichen Regelung folgt einerseits, dass der Inhalt des Grundbuchs grundsätzlich als richtig fingiert wird (positive Seite des Publizitätsprinzips), und andererseits, dass der Grundbucheintrag als vollständig gilt (negative Seite des Publizitätsprinzips; zuletzt: Urteile 5C.282/2005 vom 13. Januar 2006 E. 3 und 5C.301/2005 vom 17. Februar 2006 E. 3, in: ZBGR 88/2007 S. 480 und 89/2008 S. 292).</w:t>
      </w:r>
    </w:p>
    <w:p>
      <w:r>
        <w:rPr>
          <w:b/>
        </w:rPr>
        <w:t>E. 4.1.2</w:t>
      </w:r>
    </w:p>
    <w:p>
      <w:r>
        <w:t>Der gute Glaube gemäss Art. 973 Abs. 1 ZGB ist indessen nicht absolut geschützt. Vielmehr darf sich auch in diesem Zusammenhang gemäss Art. 3 Abs. 2 ZGB derjenige nicht auf seinen guten Glauben berufen, der bei der Aufmerksamkeit, wie sie nach den Umständen von ihm verlangt werden darf, nicht gutgläubig sein konnte. Selbst ein an sich gutgläubiger Erwerber muss daher nähere Erkundigungen einziehen, sofern besondere Umstände ihm BGE 137 III 153 S. 156 Zweifel an der Genauigkeit des Eintrags aufkommen lassen (vgl. BGE 109 II 102 E. 2 S. 104; BGE 127 III 440 E. 2c S. 443; zuletzt die in E. 4.1.1 zitierten Urteile). Der Entscheid darüber erfolgt aufgrund sämtlicher Umstände des konkreten Einzelfalls nach gerichtlichem Ermessen ( Art. 4 ZGB ; vgl. DESCHENAUX, Das Grundbuch, SPR V/3/2, 1989, § 38/B/BB/V/1 S. 788 und § 38/B/BB/V/3 S. 792 ff.).</w:t>
      </w:r>
    </w:p>
    <w:p>
      <w:r>
        <w:rPr>
          <w:b/>
        </w:rPr>
        <w:t>E. 4.1.3</w:t>
      </w:r>
    </w:p>
    <w:p>
      <w:r>
        <w:t>Den guten Glauben des Erwerbers in das Grundbuch zerstören kann namentlich die sog. natürliche Publizität, die darin besteht, dass der Rechtsbestand im physischen Zustand der Liegenschaft nach aussen sichtbar in Erscheinung tritt. Der Erwerber muss ein Rechtsverhältnis, das ihm auf dem Grundstück selber durch seine eindeutige äussere Erscheinung entgegentritt, gegen sich gelten lassen. Dabei ist nicht vorausgesetzt, dass er das sichtbare wirkliche Rechtsverhältnis auch tatsächlich wahrgenommen hat, vielmehr genügt, dass er es hätte wahrnehmen können und müssen, wenn er mit der im Rechtsverkehr gebotenen Sorgfalt vorgegangen wäre (vgl. PETER LIVER, Entstehung und Ausbildung des Eintragungs- und des Vertrauensprinzips im Grundstücksverkehr, ZBGR 60/1979 S. 1 ff. und 11 ff.; JÜRG SCHMID, in: Basler Kommentar, Zivilgesetzbuch, Bd. II, 3. Aufl. 2007, N. 32 zu Art. 973 ZGB ; PAUL-HENRI STEINAUER, Les droits réels, Bd. I, 4. Aufl. 2007, N. 924a S. 312 mit Hinweisen).</w:t>
      </w:r>
    </w:p>
    <w:p>
      <w:r>
        <w:rPr>
          <w:b/>
        </w:rPr>
        <w:t>E. 4.2</w:t>
      </w:r>
    </w:p>
    <w:p>
      <w:r>
        <w:t>Die allgemeinen Regeln über den guten Glauben in das Grundbuch bedeuten im Dienstbarkeitsrecht fallbezogen Folgendes:</w:t>
      </w:r>
    </w:p>
    <w:p>
      <w:r>
        <w:rPr>
          <w:b/>
        </w:rPr>
        <w:t>E. 4.2.1</w:t>
      </w:r>
    </w:p>
    <w:p>
      <w:r>
        <w:t>Der gute Glaube des Dritterwerbers in das Grundbuch kann unter Umständen nicht geschützt werden, wenn der Eintrag die Dienstbarkeit nicht ausreichend zu bestimmen vermag und beispielsweise schlicht auf "Wegrecht" lautet, kann doch ein Wegrecht nach Inhalt und Umfang recht verschieden ausgestaltet sein (vgl. LIVER, Zürcher Kommentar, 2. Aufl. 1980, N. 31 ff. zu Art. 738 ZGB ; STEINAUER, Les droits réels, Bd. II, 3. Aufl. 2002, N. 2291a S. 394). Insoweit kann der Dritterwerber verpflichtet sein, die Grundbuchbelege einzusehen und zu vergleichen (vgl. BGE 127 III 440 E. 2c S. 443).</w:t>
      </w:r>
    </w:p>
    <w:p>
      <w:r>
        <w:rPr>
          <w:b/>
        </w:rPr>
        <w:t>E. 4.2.2</w:t>
      </w:r>
    </w:p>
    <w:p>
      <w:r>
        <w:t>Namentlich bei Wegrechten ist die sog. natürliche Publizität zu beachten. Nach der Rechtsprechung kann sich beispielsweise der Erwerber nicht auf seinen guten Glauben in das Fehlen eines Grundbucheintrags berufen, wenn ihm das permanent ausgeübte und geduldete Wegrecht auf seinem Grundstück seit jeher bekannt gewesen ist und wenn er zeitlebens in unmittelbarer Nachbarschaft des berechtigten Grundstücks gewohnt und daher die Entwicklung auf BGE 137 III 153 S. 157 seinem Grundstück selber miterlebt hat (vgl. Urteil 5C.282/2005 vom 13. Januar 2006 E. 3, in: ZBGR 88/2007 S. 480).</w:t>
      </w:r>
    </w:p>
    <w:p>
      <w:r>
        <w:rPr>
          <w:b/>
        </w:rPr>
        <w:t>E. 4.2.3</w:t>
      </w:r>
    </w:p>
    <w:p>
      <w:r>
        <w:t>Aus der sog. natürlichen Publizität lässt sich insbesondere ableiten, dass dort, wo für die Ausübung der Dienstbarkeit bauliche Anlagen erforderlich sind, diese in der Regel auch den Inhalt und den Umfang der Dienstbarkeit bestimmen, und zwar mit voller Wirkung gegenüber dem Dritterwerber, der sich grundsätzlich alles entgegenhalten lassen muss, was sich aus der Lage und der nach aussen in Erscheinung tretenden Beschaffenheit der Grundstücke ergibt (vgl. LIVER, a.a.O., N. 55 zu Art. 738 ZGB ; SCHMID/HÜRLIMANN-KAUP, Sachenrecht, 3. Aufl. 2009, N. 1275c S. 316). In diesem Sinn hat das Bundesgericht festgehalten, dass nach allgemeiner Lebenserfahrung niemand ein wegrechtsberechtigtes Grundstück kaufe, ohne es vorher zu besichtigen, und dass - Ausnahmefälle vorbehalten - kein Dritterwerber in gutem Glauben geltend machen könne, er habe die im Grundbucheintrag nicht erwähnten Besonderheiten des Wegrechts nicht gekannt, die für ihn bei einer Besichtigung erkennbar gewesen wären. Werden folglich Inhalt und Umfang des Wegrechts durch die örtlichen Gegebenheiten für jedermann sichtbar bestimmt, hat sich der Erwerber dies grundsätzlich entgegenhalten zu lassen (vgl. Urteil 5C.71/2006 vom 19. Juli 2006 E. 2.3, in: ZBGR 88/2007 S. 467 ff.; vgl. FABIENNE HOHL, Le contrôle de l'interprétation des servitudes par le Tribunal fédéral, ZBGR 90/2009 S. 73 ff., S. 79 Ziff. III/3.2; teilweise abweichend und kritisch hingegen ALFRED KOLLER, Bemerkungen zum zit. Urteil 5C.71/2006, AJP 2008 S. 474 f.).</w:t>
      </w:r>
    </w:p>
    <w:p>
      <w:r>
        <w:rPr>
          <w:b/>
        </w:rPr>
        <w:t>E. 4.3</w:t>
      </w:r>
    </w:p>
    <w:p>
      <w:r>
        <w:t>Das Obergericht hat allgemein und im Besonderen das hier streitige Wegrecht nach den soeben dargelegten Grundsätzen beurteilt. In tatsächlicher Hinsicht ist unbestritten und wird in der Beschwerdeschrift ausdrücklich bestätigt, dass der Beschwerdeführer vor dem Kauf den Eintrag im Grundbuch "Wegrecht" gelesen, das Grundstück besichtigt und den Zugang zum Hinterhof durch den besagten Tunnel beschritten hat. Der Beschwerdeführer hat somit den tatsächlichen Verlauf des Wegrechts vor Ort gekannt, wonach der Weg ab dem W.-Weg durch einen Tunnel von 2,75 m Höhe führt und daselbst 3 m breit ist, wobei im Eingangsbereich Halterungen für ein Tor angebracht sind, die die Wegbreite von 3 m gemäss den Angaben des Beschwerdeführers auf 2,58 m verkürzen. Diese äussere Erscheinung des Wegrechts, das der Beschwerdeführer vor dem Erwerb besichtigt hat, ist massgebend und muss sich der Beschwerdeführer entgegenhalten lassen. Hat er das berechtigte Grundstück Nr. 2477 BGE 137 III 153 S. 158 gleichwohl vorbehaltlos erworben, kann er sich im Nachhinein weder auf seinen guten Glauben in den wenig aussagekräftigen Grundbucheintrag "Wegrecht" noch auf ein Wegrecht gemäss dem Vertrag von 1952 berufen. Inhalt und Umfang des Wegrechts werden hier durch die bauliche Anlage ("Tunnel") bestimmt. Aus den dargelegten Gründen kann nicht beanstandet werden, dass das Obergericht das Begehren des Beschwerdeführers auf Wiederherstellung des Wegrechts abgewiesen hat.</w:t>
      </w:r>
    </w:p>
    <w:p>
      <w:r>
        <w:rPr>
          <w:b/>
        </w:rPr>
        <w:t>E. 5</w:t>
      </w:r>
    </w:p>
    <w:p>
      <w:r>
        <w:t>Sind für den Inhalt und den Umfang des Wegrechts nach dem Gesagten die für jedermann sichtbaren örtlichen Gegebenheiten massgebend, kann dahingestellt bleiben, wie das Wegrecht gemäss dem Vertrag von 1952 zu Recht bestanden haben mag, ob die Verlegung des Wegrechts im Rahmen der Überbauung in den Siebzigerjahren ordentlich erfolgt ist und inwiefern sich der Beschwerdeführer rechtsmissbräuchlich verhalten hat. An der Beurteilung seiner dagegen gerichteten Rügen hat der Beschwerdeführer kein schutzwürdiges Interesse ( Art. 76 Abs. 1 lit. b BGG ; vgl. BGE 135 III 513 E. 7.2 S. 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