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137 III 143</w:t>
      </w:r>
    </w:p>
    <w:p>
      <w:r>
        <w:t>Bundesgericht (BGE), 2010-10-19, DE</w:t>
      </w:r>
    </w:p>
    <w:p>
      <w:r>
        <w:rPr>
          <w:b/>
        </w:rPr>
        <w:t xml:space="preserve">Quelle: </w:t>
      </w:r>
      <w:r>
        <w:t>https://mcp.opencaselaw.ch/entscheid/bge_BGE_137_III_143</w:t>
      </w:r>
    </w:p>
    <w:p>
      <w:r>
        <w:t>FR: ATF 137 III 143</w:t>
      </w:r>
    </w:p>
    <w:p>
      <w:r>
        <w:t>IT: DTF 137 III 143</w:t>
      </w:r>
    </w:p>
    <w:p>
      <w:pPr>
        <w:pStyle w:val="Heading2"/>
      </w:pPr>
      <w:r>
        <w:t>Regeste</w:t>
      </w:r>
    </w:p>
    <w:p>
      <w:r>
        <w:t>Regeste Art. 98 BGG; Art. 162 SchKG; Anordnung des Güterverzeichnisses. Die Anordnung des Güterverzeichnisses durch das Konkursgericht stellt eine vorsorgliche Massnahme im Sinne von Art. 98 BGG dar (E. 1.3).</w:t>
      </w:r>
    </w:p>
    <w:p>
      <w:r>
        <w:t>Regeste Art. 98 LTF; art. 162 LP; décision ordonnant l'inventaire des biens. La décision du juge de la faillite d'ordonner l'inventaire des biens du débiteur constitue une mesure provisionnelle au sens de l'art. 98 LTF (consid. 1.3).</w:t>
      </w:r>
    </w:p>
    <w:p>
      <w:r>
        <w:t>Regesto Art. 98 LTF; art. 162 LEF; decisione che ordina l'inventario dei beni. La decisione del giudice del fallimento che ordina l'inventario dei beni è una misura cautelare nel senso dell'art. 98 LTF (consid. 1.3).</w:t>
      </w:r>
    </w:p>
    <w:p>
      <w:pPr>
        <w:pStyle w:val="Heading2"/>
      </w:pPr>
      <w:r>
        <w:t>Erwägungen</w:t>
      </w:r>
    </w:p>
    <w:p>
      <w:r>
        <w:rPr>
          <w:b/>
        </w:rPr>
        <w:t>E. 1.3</w:t>
      </w:r>
    </w:p>
    <w:p>
      <w:r>
        <w:t>Die Anordnung des Güterverzeichnisses durch das Konkursgericht gemäss Art. 162 SchKG ist, ähnlich wie der Arrestbefehl ( Art. 274 SchKG ), eine blosse Sicherungsmassnahme zum Schutz der Gläubigerrechte (AMONN/WALTHER, Grundriss des Schuldbetreibungs- und Konkursrechts, 8. Aufl. 2008, § 36 Rz 11 ff.). Die Massnahme beschränkt sich auf eine Kontrolle der Aktiven für den Fall des Konkursausbruchs ( BGE 46 III 105 E. 1 S. 106; FRITZSCHE/WALDER, Schuldbetreibung und Konkurs, Bd. II, 1993, § 36 Rz. 9; GILLIÉRON, Poursuite pour dettes, faillite et concordat, 4. Aufl. 2005, Rz. 1441). Die Anordnung des Güterverzeichnisses durch das Konkursgericht stellt damit - wie der Arrestbefehl ( BGE 133 III 589 E. 1 S. 590) - eine vorsorgliche Massnahme im Sinne von Art. 98 BGG dar (PHILIPPIN, La nouvelle loi sur le Tribunal fédéral - Effets sur le droit des poursuites et faillites, JdT 2007 II S. 153; DIGGELMANN/MÜLLER, in: Kurzkommentar SchKG, 2009, N. 8 zu Art. 162 SchKG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