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102</w:t>
      </w:r>
    </w:p>
    <w:p>
      <w:r>
        <w:t>Bundesgericht (BGE), 2010-12-20, FR</w:t>
      </w:r>
    </w:p>
    <w:p>
      <w:r>
        <w:rPr>
          <w:b/>
        </w:rPr>
        <w:t xml:space="preserve">Quelle: </w:t>
      </w:r>
      <w:r>
        <w:t>https://mcp.opencaselaw.ch/entscheid/bge_BGE_137_III_102</w:t>
      </w:r>
    </w:p>
    <w:p>
      <w:r>
        <w:t>FR: ATF 137 III 102</w:t>
      </w:r>
    </w:p>
    <w:p>
      <w:r>
        <w:t>IT: DTF 137 III 102</w:t>
      </w:r>
    </w:p>
    <w:p>
      <w:pPr>
        <w:pStyle w:val="Heading2"/>
      </w:pPr>
      <w:r>
        <w:t>Regeste</w:t>
      </w:r>
    </w:p>
    <w:p>
      <w:r>
        <w:t>Regeste Art. 125 ZGB; Unterhaltsbeitrag zugunsten des Ehegatten; Grundsatz und vorgeschriebene Methode für seine Festsetzung. Berücksichtigung von neuen Mitteln und Lasten des unterhaltspflichtigen Ehegatten, wenn sich die Voraussetzungen einer erheblichen und dauernden Veränderung seiner finanziellen Verhältnisse schon vor dem Scheidungsurteil verwirklichen (E. 4.1.1 und 4.2.3). Fälle, in denen es zulässig ist, von einer Berechnung anhand der tatsächlichen Ausgaben der Ehegatten während der Ehe abzuweichen und die Methode des erweiterten Existenzminimums mit Verteilung des Überschusses unter den Ehegatten anzuwenden (E. 4.2.1). Voraussetzungen einer Anrechnung eines hypothetischen Einkommens auf Seiten des unterhaltsberechtigten Ehegatten (E. 4.2.2). Im Fall von Wiederverheiratung hat der zweite Ehemann den Verlust des vom ersten Ehemann geschuldeten Unterhalts nicht auszugleichen, ausser er habe sich dazu verpflichtet (E. 4.3).</w:t>
      </w:r>
    </w:p>
    <w:p>
      <w:r>
        <w:t>Regeste Art. 125 CC; contribution d'entretien en faveur du conjoint; principe et méthode prescrite pour sa fixation. Prise en compte des nouvelles ressources et charges du conjoint débiteur dans les cas où les conditions d'une modification notable et durable de sa situation financière se réalisent avant même le prononcé du divorce (consid. 4.1.1 et 4.2.3). Hypothèses dans lesquelles il est admissible de s'écarter d'un calcul selon les dépenses effectives des époux durant le mariage et d'appliquer la méthode du minimum vital élargi avec répartition de l'excédent entre les époux (consid. 4.2.1). Conditions d'une imputation d'un revenu hypothétique à l'époux créditrentier (consid. 4.2.2.). En cas de remariage, le second mari n'a pas à compenser la perte de l'entretien dû par le premier mari, à moins de s'y être engagé (consid. 4.3).</w:t>
      </w:r>
    </w:p>
    <w:p>
      <w:r>
        <w:t>Regesto Art. 125 CC; contributo di mantenimento in favore del coniuge; principio e metodo prescritto per la sua commisurazione. Presa in considerazione delle nuove risorse e dei nuovi oneri del coniuge debitore nei casi in cui le condizioni di una modifica rilevante e durevole della sua situazione finanziaria si realizzino già prima della sentenza di divorzio (consid. 4.1.1 e 4.2.3). Ipotesi nelle quali è ammissibile scostarsi dal calcolo secondo le spese effettive dei coniugi durante il matrimonio ed applicare il metodo del minimo esistenziale allargato con ripartizione dell'eccedenza tra i coniugi (consid. 4.2.1). Condizioni per un'imputazione di un reddito ipotetico al coniuge creditore degli alimenti (consid. 4.2.2). In caso di nuove nozze, il secondo marito non è tenuto a compensare la perdita del mantenimento dovuto dal primo marito, a meno che si sia impegnato in questo senso (consid. 4.3).</w:t>
      </w:r>
    </w:p>
    <w:p>
      <w:pPr>
        <w:pStyle w:val="Heading2"/>
      </w:pPr>
      <w:r>
        <w:t>Erwägungen</w:t>
      </w:r>
    </w:p>
    <w:p>
      <w:r>
        <w:rPr>
          <w:b/>
        </w:rPr>
        <w:t>E. 4.1.1</w:t>
      </w:r>
    </w:p>
    <w:p>
      <w:r>
        <w:t>Aux termes de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BGE 137 III 102 S. 105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 art. 125 al. 2 CC ( ATF 132 III 598 consid. 9.1 et les arrêts cités). Le droit à une contribution d'entretien n'est pas sans limite, dès lors que, en cas de modification notable et durable de la situation du conjoint débiteur, la rente peut être diminuée ou supprimée, voire suspendue pour une durée déterminée par le juge, conformément à l' art. 129 CC . Il en est ainsi, en particulier, lorsque le conjoint débiteur a de nouveaux enfants et, donc, de nouvelles charges. Dans ce cas, il y a lieu de tenir compte non seulement des nouvelles charges, mais également des nouvelles ressources, voire de l'obligation d'assistance du nouveau conjoint. Lorsque les conditions d'une modification notable et durable de la situation financière du conjoint débiteur se réalisent avant même le prononcé du divorce, plus précisément avant la fixation de la contribution d'entretien de l' art. 125 CC , il y a lieu d'arrêter celle-ci en tenant compte non seulement des critères de l' art. 125 al. 2 CC , mais également des nouvelles ressources et charges du conjoint débiteur, par application analogique de l' art. 129 al. 1 CC .</w:t>
      </w:r>
    </w:p>
    <w:p>
      <w:r>
        <w:rPr>
          <w:b/>
        </w:rPr>
        <w:t>E. 4.1.2</w:t>
      </w:r>
    </w:p>
    <w:p>
      <w:r>
        <w:t>Une contribution est due si le mariage a concrètement influencé la situation financière de l'époux crédirentier ("lebensprägend"). Si le mariage a duré au moins dix ans - période à calculer jusqu'à la date de la séparation des parties ( ATF 132 III 598 consid. 9.2) - il a eu, en règle générale, une influence concrète. La jurisprudence retient également que, indépendamment de sa durée, un mariage influence concrètement la situation des conjoints lorsque ceux-ci ont des enfants communs ( ATF 135 III 59 consid. 4.1). Un tel mariage ne donne toutefois pas automatiquement droit à une contribution d'entretien: selon la jurisprudence, le principe de l'autonomie prime le droit à l'entretien, ce qui se déduit directement de l' art. 125 CC ; un époux ne peut prétendre à une pension que s'il n'est pas en mesure de pourvoir lui-même à son entretien convenable et si son conjoint dispose d'une capacité contributive ( ATF 134 III 145 consid. 4). BGE 137 III 102 S. 106 En outre, si le mariage n'a pas été de très longue durée, le conjoint n'a pas droit à une rente illimitée dans le temps. Dans un tel cas, l'époux crédirentier ne peut en effet se prévaloir de la position de confiance créée par l'union (Vertrauensposition; cf. ATF 135 III 59 consid. 4.1) pour obtenir une contribution d'entretien durant une période allant au-delà de ce qu'exige la prise en charge des enfants et sa réinsertion professionnelle.</w:t>
      </w:r>
    </w:p>
    <w:p>
      <w:r>
        <w:rPr>
          <w:b/>
        </w:rPr>
        <w:t>E. 4.1.3</w:t>
      </w:r>
    </w:p>
    <w:p>
      <w:r>
        <w:t>En l'espèce, le mariage des parties a duré moins de dix ans, mais il a néanmoins influencé la situation de la recourante en raison de la naissance de deux enfants. Le principe d'une contribution d'entretien doit donc être admis. La durée pendant laquelle celle-ci est due sera examinée ci-dessous (cf. infra, consid. 4.3).</w:t>
      </w:r>
    </w:p>
    <w:p>
      <w:r>
        <w:rPr>
          <w:b/>
        </w:rPr>
        <w:t>E. 4.2</w:t>
      </w:r>
    </w:p>
    <w:p>
      <w:r>
        <w:t>Lorsqu'il s'agit de fixer la contribution à l'entretien d'un conjoint dont la situation financière a été concrètement et durablement influencée par le mariage, l' art. 125 CC prescrit de procéder en trois étapes ( ATF 134 III 145 consid. 4; cf. également la précision apportée à cet arrêt in ATF 134 III 577 consid. 3, ainsi que les arrêts 5A_249/2007 du 12 mars 2008 consid. 7.4.1 et 5A_288/2008 du 27 août 2008 consid. 5).</w:t>
      </w:r>
    </w:p>
    <w:p>
      <w:r>
        <w:rPr>
          <w:b/>
        </w:rPr>
        <w:t>E. 4.2.1.1</w:t>
      </w:r>
    </w:p>
    <w:p>
      <w:r>
        <w:t>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 ATF 132 III 593 consid.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 ATF 129 III 7 consid. 3.1.1). Enfin, ce n'est que lorsque le divorce est prononcé après une longue séparation, à savoir une dizaine d'anées, que la situation de l'époux bénéficiaire durant cette période est en principe déterminante ( ATF 132 III 598 consid.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BGE 137 III 102 S. 107 charges, le revenu est entièrement absorbé par l'entretien courant, il est admissible de s'écarter d'un calcul selon les dépenses effectives des époux durant le mariage ( ATF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arrêt 5A_352/2010 du 29 octobre 2010 consid. 6.2.1; ATF 137 III 59 consid. 4.2).</w:t>
      </w:r>
    </w:p>
    <w:p>
      <w:r>
        <w:rPr>
          <w:b/>
        </w:rPr>
        <w:t>E. 4.2.1.2</w:t>
      </w:r>
    </w:p>
    <w:p>
      <w:r>
        <w:t>La recourante soutient que son train de vie mensuel durant la vie commune s'élevait à 8'800 fr. par mois. La cour cantonale a en effet retenu que le niveau de vie des parties était déterminé exclusivement par les revenus de l'époux, qui se sont élevés à 23'658 fr. par mois. Selon la recourante, si on admet que 20 à 25 % du train de vie du couple était affecté à leurs deux enfants, les parties avaient à leur disposition 17'743 fr. 50 par mois, à savoir 8'800 fr. par époux. L'intimé fait valoir que la séparation des parties remonte à six ans, alors que la vie commune en a duré sept. Dans la mesure où, selon la jurisprudence, les critères applicables à l'entretien après divorce sont applicables durant la séparation déjà, lorsqu'on ne peut plus compter sur la reprise de la vie commune, il soutient que c'est le train de vie durant la séparation des parties qui est déterminant en l'espèce, celui-ci étant maintenu par la contribution d'entretien de 2'100 fr. fixée par la cour cantonale.</w:t>
      </w:r>
    </w:p>
    <w:p>
      <w:r>
        <w:rPr>
          <w:b/>
        </w:rPr>
        <w:t>E. 4.2.1.3</w:t>
      </w:r>
    </w:p>
    <w:p>
      <w:r>
        <w:t>Conformément à la jurisprudence rappelée ci-dessus, (cf. supra, consid. 4.2.1.1), une séparation de sept ans est insuffisante pour que l'on prenne en considération le train de vie des parties durant leur séparation, de sorte que celui mené pendant la vie commune est déterminant en l'espèce. La cour cantonale a considéré que le niveau de vie des parties était déterminé exclusivement par les revenus de l'époux, qui s'élevaient à 23'658 fr. par mois durant la vie commune. Celui-ci n'a pas démontré, ni même soutenu que les parties faisaient des économies, si bien qu'il faut partir du principe qu'elles dépensaient chaque mois l'entier de ce montant. Un calcul selon le minimum vital élargi peut donc entrer en ligne de compte. Selon les chiffres retenus par les juges précédents, le minimum vital élargi de la recourante et des enfants s'élève à 7'507 fr. par mois et celui de l'intimé, sans les frais liés à ses deux nouveaux enfants, à 10'562 fr. Le train de vie des parties durant la vie commune était ainsi supérieur à BGE 137 III 102 S. 108 leur minima vitaux actuels, les époux disposant encore de 5'589 fr. par mois (23'658 fr. - 7'507 fr. - 10'562 fr.), qu'il convient de répartir à raison d'un tiers (1'863 fr.) en faveur de l'époux et de deux tiers (3'726 fr.) en faveur de l'épouse et des enfants. Vu ce qui précède, le train de vie de la recourante et des enfants, durant la vie commune, doit être arrêté à 11'233 fr. (7'507 fr. + 3'726 fr.). Pour calculer le train de vie de l'épouse seule, on doit déduire de ce montant les besoins des enfants qui correspondent aux contributions d'entretien en leur faveur telles que fixées par la cour cantonale sur la base des Tabelles zurichoises et majorées de 25 % pour tenir compte de leurs besoins et du niveau de vie des parents; ceux-ci comprennent en effet notamment une part de loyer et une part pour l'éducation, qui doivent être prises en charge par le parent gardien, lequel doit occuper un appartement plus grand pour loger les enfants et leur consacrer personnellement du temps. Le train de vie de l'épouse seule s'élève ainsi à 6'900 fr. en chiffres ronds (11'233 fr. - 2'300 fr. - 2'000 fr.). Le calcul purement théorique opéré par la recourante ne suffit pas à démontrer, alors qu'il lui appartenait de le faire, qu'elle aurait bénéficié d'un train de vie supérieur à ce montant.</w:t>
      </w:r>
    </w:p>
    <w:p>
      <w:r>
        <w:rPr>
          <w:b/>
        </w:rPr>
        <w:t>E. 4.2.2.1</w:t>
      </w:r>
    </w:p>
    <w:p>
      <w:r>
        <w:t>La deuxième étape relative à l'application de l' art. 125 CC consiste à examiner dans quelle mesure chacun des époux peut financer lui-même l'entretien arrêté à l'étape précédente du raisonnement ( ATF 134 III 145 consid. 4; ATF 134 III 577 consid. 3).</w:t>
      </w:r>
    </w:p>
    <w:p>
      <w:r>
        <w:rPr>
          <w:b/>
        </w:rPr>
        <w:t>E. 4.2.2.2</w:t>
      </w:r>
    </w:p>
    <w:p>
      <w:r>
        <w:t>Un conjoint - y compris le créancier de l'entretien (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 ATF 128 III 4 consid.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 ATF 128 III 4 consid. 4c/bb). Selon la jurisprudence, en cas de mariage de longue durée, on présume qu'il n'est pas possible d'exiger d'un époux qui a renoncé à BGE 137 III 102 S. 109 exercer une activité lucrative pendant le mariage et qui a atteint l'âge de 45 ans au moment de la séparation, de reprendre un travail; cette limite d'âge ne doit toutefois pas être considérée comme une règle stricte ( ATF 115 II 6 consid. 5a; arrêts 5A_76/2009 du 4 mai 2009 consid. 6.2.3; 5C.320/2006 du 1 er février consid. 5.6.2.2). La présomption peut être renversée, en fonction d'autres éléments qui plaideraient en faveur de la prise ou de l'augmentation d'une activité lucrative (cf. arrêts 5A_6/2009 du 30 avril 2009 consid. 2.2; 5A_76/2009 du 4 mai 2009 consid. 6.2.5; 5A_210/2008 du 14 novembre 2008 consid. 4.4 et 3.4, non publié in ATF 135 III 158 ). La limite d'âge tend à être augmentée à 50 ans (arrêt 5A_206/2010 du 21 juin 2010 consid. 5.3.2 et les arrêts cités).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 ATF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(arrêt 5A_210/2008 du 14 novembre 2008 consid. 3.2, non publié in ATF 135 III 158 ). Elles ne sont toutefois pas des règles strictes; leur application dépend des circonstances du cas concret (arrêt 5A_241/2010 du 9 novembre 2010 consid.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(arrêt 5A_6/2009 du 30 avril 2009 consid. 2.2). Le juge du fait tient compte de ces lignes directrices dans l'exercice du large pouvoir d'appréciation qui est le sien ( ATF 134 III 577 consid. 4).</w:t>
      </w:r>
    </w:p>
    <w:p>
      <w:r>
        <w:rPr>
          <w:b/>
        </w:rPr>
        <w:t>E. 4.2.2.3</w:t>
      </w:r>
    </w:p>
    <w:p>
      <w:r>
        <w:t>La recourante fait valoir qu'elle s'est mariée aux Etats-Unis à la fin de sa scolarité obligatoire et n'a exercé, jusqu'à maintenant, que quelques activités professionnelles accessoires, qui ne lui ont pas permis d'acquérir une quelconque formation ou expérience BGE 137 III 102 S. 110 professionnelle. Elle a 43 ans et elle est ainsi proche de la limite de 45 ans, au-delà de laquelle, selon la jurisprudence, on ne pourrait plus exiger d'elle qu'elle se réintègre professionnellement. Compte tenu de son âge, du fait qu'elle doit encore rester disponible pour ses enfants, de son absence de toute formation professionnelle, de ses lacunes en français et des difficultés existant actuellement sur le marché de l'emploi, la possibilité qu'elle puisse trouver une activité lucrative qui soit à même de lui assurer un revenu lui permettant de couvrir, ne serait-ce qu'en partie, ses charges serait exclue.</w:t>
      </w:r>
    </w:p>
    <w:p>
      <w:r>
        <w:rPr>
          <w:b/>
        </w:rPr>
        <w:t>E. 4.2.2.4</w:t>
      </w:r>
    </w:p>
    <w:p>
      <w:r>
        <w:t>Il résulte de l'arrêt attaqué que la recourante a travaillé durant un mois comme assistante de direction au sein de E. pour un salaire mensuel net supérieur à 6'000 fr., qu'elle a travaillé de juin 2005 à fin mars 2006 à 80 % en qualité de vendeuse dans une boutique de mode pour un salaire mensuel net de 3'223 fr. et qu'elle a travaillé du mois de mai au mois d'août 2007 dans un restaurant, notamment comme réceptionniste à 50 % de 12h00 à 14h00 et de 19h30 à 22h00, pour un salaire mensuel approximatif de 1'500 fr. Entendus comme témoins, les trois employeurs successifs de la recourante ont déclaré avoir pu apprécier ses qualités professionnelles, son dynamisme et son entregent; ils ont estimé qu'elle ne devrait pas avoir de problème à retrouver un emploi et considéré que sa maîtrise de l'anglais est un avantage sur le marché du travail pour bon nombre de postes dans leurs domaines d'activités. Sur la base de ses deux derniers emplois, le Tribunal civil de l'arrondissement de Lausanne avait considéré, dans l'arrêt sur appel de mesures provisionnelles du 4 octobre 2007, que la recourante était en mesure de réaliser un revenu de 1'500 fr. par mois pour une activité à mi-temps. Vu ce qui précède, c'est sans violer le droit fédéral que la cour cantonale a confirmé que la recourante peut réaliser un revenu de 1'500 fr. par mois en exerçant une activité lucrative à 50 %, qui pourra être augmentée à 100 % lorsque la cadette de ses filles aura seize ans révolus, en 2016. Le fait qu'elle soit âgée de 43 ans aujourd'hui n'est pas de nature à modifier cette appréciation; la recourante avait 37 ans au moment de la séparation et devait s'attendre à devoir reprendre une activité lucrative, vu la durée du mariage, lorsque ses enfants seraient en âge de scolarité; elle a actuellement 43 ans, alors que sa cadette a atteint l'âge de 10 ans. Dans ces circonstances, il n'est même pas fait exception aux lignes directrices rappelées ci-dessus (cf. supra, consid. 4.2.2.2), ce d'autant que la recourante a travaillé durant la séparation. Elle peut ainsi, partiellement, pourvoir à son entretien convenable. BGE 137 III 102 S. 111</w:t>
      </w:r>
    </w:p>
    <w:p>
      <w:r>
        <w:rPr>
          <w:b/>
        </w:rPr>
        <w:t>E. 4.2.3.1</w:t>
      </w:r>
    </w:p>
    <w:p>
      <w:r>
        <w:t>Selon la jurisprudence,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celle-ci se fonde sur le principe de la solidarité ( ATF 134 III 145 consid. 4 et les arrêts cités). A ce stade, les critères de l' art. 129 al. 1 CC doivent être pris en considération, par analogie.</w:t>
      </w:r>
    </w:p>
    <w:p>
      <w:r>
        <w:rPr>
          <w:b/>
        </w:rPr>
        <w:t>E. 4.2.3.2</w:t>
      </w:r>
    </w:p>
    <w:p>
      <w:r>
        <w:t>En l'espèce, compte tenu de la capacité de gain de la recourante (cf. supra, consid. 4.2.2.4), il lui manque un montant de 5'400 fr. par mois (6'900 fr. - 1'500 fr.) pour subvenir à son entretien convenable. Il convient par conséquent de déterminer si l'intimé est en mesure de lui verser ce montant, compte tenu notamment des bonus qu'il a perçus en 2008 et 2009, dont la recourante reproche à la cour cantonale de n'avoir tenu compte que très partiellement. Contrairement à ce que soutient l'intimé, il ne s'agit pas de prendre en considération ses bonus 2008 et 2009 pour calculer le train de vie des époux durant le mariage et ainsi fixer la contribution due à la recourante, mais de déterminer s'il est en mesure de s'acquitter du montant arrêté ci-dessus, au vu de ses ressources actuelles. A cet égard, son salaire s'est élevé, en 2008, à 1'176'235 fr. (dont 950'000 fr. de bonus) et, en 2009, à 887'725 fr. (dont 648'325 fr. de bonus). Avec la recourante, il y a lieu de constater que ces revenus ont été réalisés deux ans de suite et que leur augmentation coïncide avec la nomination de l'intimé au poste de directeur de la société D. Il convient, dans ces circonstances, d'en tenir compte et de constater que l'intimé est en mesure de s'acquitter du montant de 5'400 fr. en faveur de la recourante, en sus des contributions d'entretien dues aux enfants. Même sans prendre en considération la totalité des bonus reçus, dont il ne ressort pas de l'arrêt attaqué qu'ils seraient "extraordinaires" comme le soutient l'intimé, celui-ci dispose encore, une fois les montants mis à sa charge versés, d'une somme largement suffisante pour maintenir son train de vie et pourvoir à l'entretien des enfants issus de sa nouvelle relation, en faveur de chacun desquels il s'est engagé à payer 1'650 fr. par mois compte tenu de leur âge actuel.</w:t>
      </w:r>
    </w:p>
    <w:p>
      <w:r>
        <w:rPr>
          <w:b/>
        </w:rPr>
        <w:t>E. 4.3.1</w:t>
      </w:r>
    </w:p>
    <w:p>
      <w:r>
        <w:t>S'agissant de la durée de la contribution d'entretien, la recourante fait grief à la cour cantonale d'avoir fixé l'échéance de celle-ci au jour où sa fille cadette atteindra l'âge de seize ans révolus. Elle BGE 137 III 102 S. 112 invoque que le revenu hypothétique de 3'000 fr. à plein temps retenu par les juges précédents ne lui permettra pas, dès ce moment-là, de faire face à son minimum vital, ni, par conséquent, d'assurer un train de vie qui devrait être équivalent à celui qu'elle avait durant le mariage.</w:t>
      </w:r>
    </w:p>
    <w:p>
      <w:r>
        <w:rPr>
          <w:b/>
        </w:rPr>
        <w:t>E. 4.3.2</w:t>
      </w:r>
    </w:p>
    <w:p>
      <w:r>
        <w:t>Contrairement à ce que soutient la recourante, le législateur n'a pas entendu, en cas de remariage, reporter sur le second époux l'entier de la charge d'entretien de son conjoint. Sauf circonstances particulières, dont on pourrait déduire que le second mari s'est engagé à compenser la perte de l'entretien dû par le premier mari, l'épouse ne peut se prévaloir d'une position de confiance (Vertrauensposition; arrêt 5C.49/2005 du 23 juin 2005 consid. 2, in FamPra.ch 2005 p. 919). En l'espèce, dès lors que la vie commune a duré 7 ans et que l'épouse, même sans formation, avait 37 ans au moment de la séparation et 43 ans lorsque le dernier de ses enfants a atteint l'âge de 10 ans, qu'elle aura bénéficié du même niveau de vie pendant 12 ans, à savoir pendant près du double de la vie commune, certes en travaillant à temps partiel, la cour cantonale n'a pas violé le droit fédéral en renonçant à imposer au mari une contribution destinée à maintenir le niveau de vie sur une plus longue durée. La position de confiance créée par le mariage et la répartition des tâches durant celui-ci ne justifient pas que l'intimé doive maintenir le niveau de vie de la recourante jusqu'à sa retraite. Ainsi, en arrêtant la contribution d'entretien au moment où l'épouse recouvrera sa pleine capacité de gain, la cour cantonale n'a pas excédé le pouvoir d'appréciation que lui attribue le droit fédéral ( art. 125 et 4 CC ).</w:t>
      </w:r>
    </w:p>
    <w:p>
      <w:r>
        <w:rPr>
          <w:b/>
        </w:rPr>
        <w:t>E. 4.4</w:t>
      </w:r>
    </w:p>
    <w:p>
      <w:r>
        <w:t>La recourante fait valoir en dernier lieu que la cour cantonale aurait omis de prendre en compte, dans le cadre de la détermination de la contribution d'entretien, la constitution d'une prévoyance vieillesse appropriée. Dans la mesure où elle soutient qu'une contribution d'entretien de 6'000 fr. par mois "apparaît adéquate" pour lui permettre de se constituer une telle prévoyance, son grief, autant qu'il est suffisamment motivé (cf. supra, consid. 1.2 non publié), apparaît sans objet. En effet, compte tenu de sa capacité de gain hypothétique, la contribution d'entretien fixée ci-dessus permet à la recourante d'obtenir un revenu de 6'900 fr. par mois, lui permettant ainsi de se constituer une prévoyance appropriée, compte tenu de la durée du mariage et des éléments rappelés ci-dessus (cf supra, consid. 4.3.2 in fine).</w:t>
      </w:r>
    </w:p>
    <w:p>
      <w:r>
        <w:rPr>
          <w:b/>
        </w:rPr>
        <w:t>E. 4.5</w:t>
      </w:r>
    </w:p>
    <w:p>
      <w:r>
        <w:t>Enfin, contrairement à ce que soutient l'intimé, le principe de l'indépendance économique des époux après le divorce n'exclut pas BGE 137 III 102 S. 113 que les contributions d'entretien après divorce soient plus élevées que la pension provisionnelle. A cet égard, il résulte de l'arrêt attaqué que les revenus de l'intimé, sur la base desquels la contribution d'entretien due en faveur des siens a été calculée durant la séparation, ont été inférieurs à ceux réalisés durant la vie commune, qui est déterminante lorsqu'il s'agit d'établir le train de vie des époux au maintien duquel ils ont droit en l'espèce. Pour le surplus, la cour cantonale n'a pas tenu compte, à l'instar des premiers juges, du résultat de la dissolution du régime matrimonial (attribution à l'épouse des meubles) pour fixer la contribution d'entretien, de sorte que le grief de l'intimé sur ce point est infondé. Quant au fait que la recourante serait entretenue financièrement par son ami, il n'est pas pertinent.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