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156</w:t>
      </w:r>
    </w:p>
    <w:p>
      <w:r>
        <w:t>Bundesgericht (BGE), 2010-04-22, DE</w:t>
      </w:r>
    </w:p>
    <w:p>
      <w:r>
        <w:rPr>
          <w:b/>
        </w:rPr>
        <w:t xml:space="preserve">Quelle: </w:t>
      </w:r>
      <w:r>
        <w:t>https://mcp.opencaselaw.ch/entscheid/bge_BGE_136_V_156</w:t>
      </w:r>
    </w:p>
    <w:p>
      <w:r>
        <w:t>FR: ATF 136 V 156</w:t>
      </w:r>
    </w:p>
    <w:p>
      <w:r>
        <w:t>IT: DTF 136 V 156</w:t>
      </w:r>
    </w:p>
    <w:p>
      <w:pPr>
        <w:pStyle w:val="Heading2"/>
      </w:pPr>
      <w:r>
        <w:t>Regeste</w:t>
      </w:r>
    </w:p>
    <w:p>
      <w:r>
        <w:t>Regeste Art. 43 f. ATSG; Art. 25a VwVG; Anordnung einer Begutachtung. Der Versicherungsträger hat eine Begutachtung auch dann nicht in Form einer anfechtbaren Verfügung anzuordnen, wenn die versicherte Person geltend macht, die Expertise sei - als "second opinion" - nicht notwendig (Bestätigung der Rechtsprechung unter Berücksichtigung des zwischenzeitlich in Kraft getretenen Art. 25a VwVG; E. 4).</w:t>
      </w:r>
    </w:p>
    <w:p>
      <w:r>
        <w:t>Regeste Art. 43 s. LPGA; art. 25a PA; administration d'une expertise. L'assureur n'est pas tenu d'administrer une expertise par une décision formelle susceptible de recours lorsque la personne assurée soutient que ce moyen de preuve - en tant que "second opinion" - n'est pas nécessaire (confirmation de jurisprudence, compte tenu de l'entrée en vigueur de l'art. 25a PA; consid. 4).</w:t>
      </w:r>
    </w:p>
    <w:p>
      <w:r>
        <w:t>Regesto Art. 43 seg. LPGA; art. 25a PA; ordine di eseguire una perizia. L'assicuratore non è tenuto a ordinare l'esecuzione di una perizia sotto forma di una decisione impugnabile nemmeno se la persona assicurata ritiene che la perizia - quale "second opinion" - non sia necessaria (conferma della giurisprudenza alla luce dell'entrata in vigore dell'art. 25a PA; consid. 4).</w:t>
      </w:r>
    </w:p>
    <w:p>
      <w:pPr>
        <w:pStyle w:val="Heading2"/>
      </w:pPr>
      <w:r>
        <w:t>Erwägungen</w:t>
      </w:r>
    </w:p>
    <w:p>
      <w:r>
        <w:rPr>
          <w:b/>
        </w:rPr>
        <w:t>E. 3.1</w:t>
      </w:r>
    </w:p>
    <w:p>
      <w:r>
        <w:t>Da eine Gutheissung der Beschwerde nicht sofort zu einem Endentscheid in der Sache (mithin über den Rentenanspruch der Versicherten) führen würde (vgl. Art. 93 Abs. 1 lit. b BGG ), wäre auf die Beschwerde nur einzutreten, wenn dieser Zwischenentscheid einen nicht wieder gutzumachenden Nachteil bewirken könnte ( Art. 93 Abs. 1 lit. a BGG ).</w:t>
      </w:r>
    </w:p>
    <w:p>
      <w:r>
        <w:rPr>
          <w:b/>
        </w:rPr>
        <w:t>E. 3.2</w:t>
      </w:r>
    </w:p>
    <w:p>
      <w:r>
        <w:t>In seinem Urteil vom 8. Februar 2006 hat das Eidg. Versicherungsgericht erwogen, die Anordnung einer Begutachtung stelle keine anfechtbare Zwischenverfügung dar ( BGE 132 V 93 E. 5 S. 100 ff.). Selbständig anfechtbar sind nach dieser Rechtsprechung jedoch Zwischenverfügungen über formelle Ausstandsgründe ( BGE 132 V 93 E. 6.3 S. 107). Zwischenverfügungen über andere Fragen der Begutachtung sind hingegen bereits vor dem kantonalen Gericht nur dann anfechtbar, wenn sie einen nicht wieder gutzumachenden Nachteil bewirken können ( BGE 132 V 93 E. 6.1 S. 106). In der Regel keinen solchen Nachteil bewirken können Zwischenverfügungen über Einwände, welche Fragen der Beweiswürdigung betreffen und daher beim Endentscheid in der Sache noch berücksichtigt werden können. BGE 136 V 156 S. 158 Dazu gehören rechtsprechungsgemäss die Fragen, aus welcher medizinischen Fachrichtung ein Gutachten einzuholen ist, ob ein behandelnder Arzt als Gutachter eingesetzt werden kann, ob die vorgesehene Gutachtensperson die notwendigen Fachkenntnisse besitzt oder ob der Sachverhalt bereits hinreichend abgeklärt ist ( BGE 132 V 93 E. 6.5 S. 108 f.).</w:t>
      </w:r>
    </w:p>
    <w:p>
      <w:r>
        <w:rPr>
          <w:b/>
        </w:rPr>
        <w:t>E. 3.3</w:t>
      </w:r>
    </w:p>
    <w:p>
      <w:r>
        <w:t>Die Beschwerdeführerin macht im Wesentlichen geltend, eine weitere Begutachtung laufe auf die unzulässige Einholung einer "second opinion" hinaus. Abgesehen davon, dass die Einholung eines entbehrlichen Zweitgutachtens eine unzulässige Verfahrensverzögerung darstellen kann (vgl. Urteil 8C_622/2009 vom 3. Dezember 2009 und Urteil des Eidg. Versicherungsgerichts I 671/00 vom 21. August 2001 E. 5a), erkannte das Bundesgericht in seinem Urteil U 571/06 vom 29. Mai 2007, dass die versicherte Person nicht verpflichtet ist, sich einer weiteren Begutachtung zu unterziehen, wenn der Sachverhalt bereits hinreichend geklärt ist; die Weigerung, sich der Zweitbegutachtung zu unterziehen, gereichte der versicherten Person nicht zum Nachteil, da das Gericht die Entbehrlichkeit der weiteren Begutachtung feststellte (SVR 2007 UV Nr. 33 S. 111, U 571/06 E. 4). Die Verfahrensgrundsätze des ATSG (SR 830.1) verleihen dem Versicherungsträger gemäss dieser Rechtsprechung nicht das Recht, eine "second opinion" zum bereits in einem Gutachten festgestellten Sachverhalt einzuholen, wenn ihm dieser nicht gefällt. Es war indessen nicht die Absicht des Bundesgerichts, durch das in einem Beschwerdeverfahren gegen einen Endentscheid ergangene Urteil vom 29. Mai 2007 die in BGE 132 V 93 aufgezeigte Verfahrensordnung zu ändern. In diesem neueren Entscheid wurde lediglich festgehalten, dass sich eine versicherte Person einer weiteren Begutachtung nicht zu unterziehen braucht, wenn der Sachverhalt bereits hinreichend abgeklärt ist und die Einholung einer weiteren Expertise auf eine unzulässige "second opinion"-Begutachtung hinauslaufen würde. Aus diesem Urteil folgt indessen noch nicht, dass dann, wenn die versicherte Person behauptet, eine weitere Expertise sei unnötig, der Versicherungsträger über die Notwendigkeit der neuerlichen Begutachtung mittels anfechtbarer Zwischenverfügung entscheiden müsste. Durch die zusätzliche Begutachtung erleidet die versicherte Person keinen nicht wieder gutzumachenden Nachteil: Zusätzliche Abklärungen durch eine kompetente und unparteiische Fachperson - was eine Voraussetzung einer Gutachtensanordnung nach Art. 44 ATSG ist - können zwar der Klärung des massgeblichen Sachverhaltes dienen, nicht jedoch zu einer Verdunkelung desselben führen. BGE 136 V 156 S. 159 Vorliegend nicht zu entscheiden ist die Frage, ob dann, wenn der Versicherungsträger unzulässigerweise ein weiteres Gutachten eingeholt hat und in der Folge zwei gleichermassen beweiskräftige Gutachten, welche indessen zu unterschiedlichen Ergebnissen gelangen, vorliegen, auf das erste Gutachten abzustellen ist oder ob das Gericht in einem solchen Fall - im Beschwerdeverfahren gegen den Endentscheid - ein gerichtliches Obergutachten anzuordnen hat.</w:t>
      </w:r>
    </w:p>
    <w:p>
      <w:r>
        <w:rPr>
          <w:b/>
        </w:rPr>
        <w:t>E. 3.4</w:t>
      </w:r>
    </w:p>
    <w:p>
      <w:r>
        <w:t>Hat der Versicherungsträger sein Festhalten an der Begutachtung nicht in Form einer anfechtbaren Verfügung zu erlassen, weil die versicherte Person durch eine solche Anordnung keinen nicht wieder gutzumachenden Nachteil erleidet, ist mangels eines solchen Nachteils auch nicht auf die Beschwerde gegen einen diesbezüglichen Entscheid des kantonalen Gerichts einzutreten.</w:t>
      </w:r>
    </w:p>
    <w:p>
      <w:r>
        <w:rPr>
          <w:b/>
        </w:rPr>
        <w:t>E. 4</w:t>
      </w:r>
    </w:p>
    <w:p>
      <w:r>
        <w:t>Das kantonale Gericht hat in seinem Entscheid offengelassen, ob die "Zwischenverfügung" der IV-Stelle allenfalls als Entscheid im Sinne von Art. 25a VwVG (SR 172.021) anzusehen wäre, da die Beschwerde diesfalls abzuweisen wäre.</w:t>
      </w:r>
    </w:p>
    <w:p>
      <w:r>
        <w:rPr>
          <w:b/>
        </w:rPr>
        <w:t>E. 4.1</w:t>
      </w:r>
    </w:p>
    <w:p>
      <w:r>
        <w:t>Gemäss dem am 1. Januar 2007 in Kraft getretenen Art. 25a VwVG kann, wer ein schutzwürdiges Interesse hat, von der Behörde, die für Handlungen zuständig ist, welche sich auf öffentliches Recht des Bundes stützen und Rechte oder Pflichten berühren, verlangen, dass sie: widerrechtliche Handlungen unterlässt, einstellt oder widerruft (Abs. 1 lit. a); die Folgen widerrechtlicher Handlungen beseitigt (Abs. 1 lit. b); oder die Widerrechtlichkeit von Handlungen feststellt (Abs. 1 lit. c). Die Behörde entscheidet in Anwendung von Abs. 2 durch Verfügung.</w:t>
      </w:r>
    </w:p>
    <w:p>
      <w:r>
        <w:rPr>
          <w:b/>
        </w:rPr>
        <w:t>E. 4.2</w:t>
      </w:r>
    </w:p>
    <w:p>
      <w:r>
        <w:t>In der Lehre wird teilweise die Ansicht vertreten, die versicherte Person könne, wenn bei genügender Beweislage ein weiteres Gutachten eingeholt werden soll, gestützt auf Art. 55 Abs. 1 ATSG in Verbindung mit Art. 25a VwVG eine anfechtbare Verfügung über die Rechtmässigkeit des Realaktes einholen (UELI KIESER, ATSG-Kommentar, 2. Aufl. 2009, N. 13 zu Art. 49 ATSG ; vgl. auch ULRICH MEYER, Die Sozialrechtspflege unter dem Bundesgerichtsgesetz, in: Strassenverkehrsrechts-Tagung, 2008, S. 149 ff.; anderer Ansicht: HANSJÖRG SEILER, Rechtsfragen des Einspracheverfahrens in der Sozialversicherung [ Art. 52 ATSG ], in: Sozialversicherungsrechtstagung, Schaffhauser/Schlauri [Hrsg.], 2007, S. 65 ff., 79; URS MÜLLER, Das Verwaltungsverfahren in der Invalidenversicherung, 2010, S. 440 Rz. 2266 ff.). Sinn und Zweck von Art. 25a VwVG ist es, das Rechtsschutzdefizit, welches vor der Revision der Bundesrechtspflege im BGE 136 V 156 S. 160 Bereich des tatsächlichen Verwaltungshandelns bestand (vgl. MARKUS MÜLLER, Rechtschutz gegen Verwaltungsakte, in: Neue Bundesrechtspflege, 2007, S. 313 ff., 314; MARIANNE TSCHOPP-CHRISTEN, Rechtsschutz gegenüber Realakten des Bundes [Artikel 25a VwVG], 2009, S. 83; je mit weiteren Hinweisen), zu verkleinern. Dieser neue Artikel räumt der betroffenen Person das Recht auf ein eigenständiges, nachgeschaltetes Verwaltungsverfahren ein, das in eine Verfügung über den beanstandeten Realakt und entsprechend in ein Verwaltungsverhältnis mündet (TSCHOPP-CHRISTEN, a.a.O., S. 88; MARKUS MÜLLER, a.a.O., S. 344).</w:t>
      </w:r>
    </w:p>
    <w:p>
      <w:r>
        <w:rPr>
          <w:b/>
        </w:rPr>
        <w:t>E. 4.3</w:t>
      </w:r>
    </w:p>
    <w:p>
      <w:r>
        <w:t>Art. 25a VwVG sieht vor, dass eine Verfügung nur bei einem schutzwürdigen Interesse der gesuchstellenden Person zu erlassen ist (vgl. auch Urteil 2C_175/2009 vom 13. Juli 2009 E. 2.2). Ein solches ist indessen dann zu verneinen, wenn der Person der Rechtsschutz gegenüber dem Realakt zu einem späteren Zeitpunkt offensteht, es sei denn, dass ihr aufgrund der hinausgeschobenen Eröffnung des Rechtsweges ein unzumutbarer Nachteil drohe (TSCHOPP-CHRISTEN, a.a.O., S. 130 mit weiteren Hinweisen). Es ist somit nicht Sinn und Zweck von Art. 25a VwVG , den Rechtsweg gegen Zwischenverfügungen in einem Verfahren, welche mangels eines nicht wieder gutzumachenden Nachteils nicht angefochten werden können, zu öffnen (vgl. BEATRICE WEBER-DÜRLER, in: Kommentar zum Bundesgesetz über das Verwaltungsverfahren [VwVG], 2008, N. 31 zu Art. 25a VwVG ). Es wäre inkonsequent, den nicht wieder gutzumachenden Nachteil zur Anfechtung der Anordnung zu verneinen und gleichzeitig ein schutzwürdiges Interesse am Erlass einer Verfügung im Sinne von Art. 25a VwVG zu bejahen.</w:t>
      </w:r>
    </w:p>
    <w:p>
      <w:r>
        <w:rPr>
          <w:b/>
        </w:rPr>
        <w:t>E. 4.4</w:t>
      </w:r>
    </w:p>
    <w:p>
      <w:r>
        <w:t>Die Versicherte hat sich somit gegenüber der IV-Stelle zu Recht nicht auf Art. 25a VwVG berufen; die IV-Stelle hat ihrerseits folgerichtig diesen Artikel in ihrer "Zwischenverfügung" nicht erwähnt. Damit besteht entgegen den vorinstanzlichen Erwägungen kein Grund, diese Zwischenverfügung als Entscheid im Sinne von Art. 25a VwVG zu qualifizieren. Die Rechtslage bei Gutachtensanordnungen im Sozialversicherungsrecht wurde durch das Inkrafttreten von Art. 25a VwVG nicht geändert; auf die Beschwerde ist folglich auch unter diesem Titel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