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127</w:t>
      </w:r>
    </w:p>
    <w:p>
      <w:r>
        <w:t>Bundesgericht (BGE), 2010-03-31, DE</w:t>
      </w:r>
    </w:p>
    <w:p>
      <w:r>
        <w:rPr>
          <w:b/>
        </w:rPr>
        <w:t xml:space="preserve">Quelle: </w:t>
      </w:r>
      <w:r>
        <w:t>https://mcp.opencaselaw.ch/entscheid/bge_BGE_136_V_127</w:t>
      </w:r>
    </w:p>
    <w:p>
      <w:r>
        <w:t>FR: ATF 136 V 127</w:t>
      </w:r>
    </w:p>
    <w:p>
      <w:r>
        <w:t>IT: DTF 136 V 127</w:t>
      </w:r>
    </w:p>
    <w:p>
      <w:pPr>
        <w:pStyle w:val="Heading2"/>
      </w:pPr>
      <w:r>
        <w:t>Regeste</w:t>
      </w:r>
    </w:p>
    <w:p>
      <w:r>
        <w:t>Regeste Art. 20a Abs. 1 und Art. 49 BVG; Hinterlassenenleistungen der weitergehenden beruflichen Vorsorge; Begünstigung der Lebenspartnerin. Es ist mit Art. 20a BVG vereinbar, wenn eine Pensionskasse reglementarisch den Anspruch der überlebenden Konkubinatspartnerin auf das Todesfallkapital an die formelle Voraussetzung einer Begünstigung zu Lebzeiten knüpft (E. 4.5).</w:t>
      </w:r>
    </w:p>
    <w:p>
      <w:r>
        <w:t>Regeste Art. 20a al. 1 et art. 49 LPP; prestations pour survivants dans la prévoyance plus étendue; clause bénéficiaire en faveur de la concubine. Le fait pour une institution de prévoyance de faire dépendre réglementairement le droit de la concubine au capital-décès de la condition formelle que le défunt l'ait désignée comme bénéficiaire de son vivant est conforme à l'art. 20a LPP (consid. 4.5).</w:t>
      </w:r>
    </w:p>
    <w:p>
      <w:r>
        <w:t>Regesto Art. 20a cpv. 1 e art. 49 LPP; prestazioni per superstiti della previdenza professionale più estesa; clausola beneficiaria a favore della concubina. Il fatto che una cassa pensione vincoli nel suo regolamento il diritto della concubina superstite sul capitale di decesso alle condizioni formali di una clausola beneficiaria è conforme all'art. 20a LPP (consid. 4.5).</w:t>
      </w:r>
    </w:p>
    <w:p>
      <w:pPr>
        <w:pStyle w:val="Heading2"/>
      </w:pPr>
      <w:r>
        <w:t>Erwägungen</w:t>
      </w:r>
    </w:p>
    <w:p>
      <w:r>
        <w:rPr>
          <w:b/>
        </w:rPr>
        <w:t>E. 3</w:t>
      </w:r>
    </w:p>
    <w:p>
      <w:r>
        <w:t>(Eine Begünstigung der Beschwerdeführerin im Sinne des Vorsorgereglements liegt nicht vor.)</w:t>
      </w:r>
    </w:p>
    <w:p>
      <w:r>
        <w:rPr>
          <w:b/>
        </w:rPr>
        <w:t>E. 4</w:t>
      </w:r>
    </w:p>
    <w:p>
      <w:r>
        <w:t>Streitig und zu prüfen ist weiter, ob es mit Art. 20a BVG (SR 831. 40) vereinbar ist, wenn eine Pensionskasse als Voraussetzung für einen Anspruch der überlebenden Konkubinatspartnerin auf das Todesfallkapital eine Begünstigung zu Lebzeiten verlangt. BGE 136 V 127 S. 129</w:t>
      </w:r>
    </w:p>
    <w:p>
      <w:r>
        <w:rPr>
          <w:b/>
        </w:rPr>
        <w:t>E. 4.1</w:t>
      </w:r>
    </w:p>
    <w:p>
      <w:r>
        <w:t>Vor dem Inkrafttreten von Art. 20a BVG am 1. Januar 2005 war es gemäss Rechtsprechung zulässig, den Anspruch des überlebenden Lebenspartners auf Todesfallleistungen an das Vorliegen einer zu Lebzeiten erfolgten (schriftlichen) Begünstigung oder Meldung zu binden. Dies wurde mit dem Anliegen der Rechtssicherheit (vgl. nicht publizierte E. 3.1) begründet sowie mit dem schutzwürdigen Interesse der Vorsorgeeinrichtung an der Kenntnis der durch den Todesfall eines Versicherten ausgelösten Leistungen ( BGE 133 V 314 E. 4.2.3 S. 318 f.; SVR 2009 BVG Nr. 18 S. 65, 9C_710/2007 E. 5.2; vgl. auch SVR 2006 BVG Nr. 13 S. 47, B 92/04 E. 5.3).</w:t>
      </w:r>
    </w:p>
    <w:p>
      <w:r>
        <w:rPr>
          <w:b/>
        </w:rPr>
        <w:t>E. 4.2</w:t>
      </w:r>
    </w:p>
    <w:p>
      <w:r>
        <w:t>Streitig ist, ob der am 1. Januar 2005 in Kraft getretene und hier anwendbare Art. 20a BVG diesbezüglich eine Änderung gebracht hat. In BGE 134 V 369 E. 6.3.1 S. 378 führte das Bundesgericht unter der Geltung des neuen Rechts und unter Hinweis auf Lehrmeinungen sowie auf die früher ergangene Rechtsprechung aus, die Reglemente der Vorsorgeeinrichtungen könnten die Anspruchsberechtigung der in Art. 20a Abs. 1 BVG genannten Personen von der Abgabe einer Begünstigungserklärung oder einer schriftlichen Vereinbarung über die Unterstützungspflicht abhängig machen. Die Frage war allerdings dort nicht entscheiderheblich, da das anwendbare Reglement eine solche Anforderung ohnehin nicht enthielt. Im Urteil 9C_488/2009 vom 16. Dezember 2009 E. 2, nicht publ. in BGE 136 V 49 führte das Bundesgericht aus, es sei unbestritten, dass die zu Lebzeiten erfolgte Begünstigung der Lebenspartnerin durch den Versicherten nach dem im Zeitpunkt der entsprechenden Erklärung geltenden alten wie auch nach dem ab 1. Januar 2005 geltenden neuen Reglement der Vorsorgeeinrichtung zulässig sei; zu prüfen war nur, ob diese reglementarisch zulässige Begünstigung - im Hinblick auf den (konkurrierenden) Anspruch eines Waisen im Sinne von Art. 20 BVG - mit Art. 20a BVG vereinbar war.</w:t>
      </w:r>
    </w:p>
    <w:p>
      <w:r>
        <w:rPr>
          <w:b/>
        </w:rPr>
        <w:t>E. 4.3</w:t>
      </w:r>
    </w:p>
    <w:p>
      <w:r>
        <w:t>Art. 20a BVG wurde ins Gesetz aufgenommen, um die vorher nur durch Kreisschreiben der Steuerverwaltung geregelte Frage zu beantworten, ob und in welchem Umfang die Lebenspartner in der 2. Säule begünstigt werden können. Mit der ausdrücklichen gesetzlichen Regelung sollten die Hinterlassenenleistungen für nicht verheiratete Lebenspartner verbessert und der Kreis der begünstigten Personen im Bereich des Überobligatoriums vereinheitlicht werden (Botschaft vom 1. März 2000 zur Revision des Bundesgesetzes über die berufliche Alters-, Hinterlassenen- und Invalidenvorsorge [1. BVG-Revision], BBl 2000 2683 Ziff. 2.9.6.1). Die nunmehr auf Gesetzesstufe gehobene Regelung stimmt inhaltlich weitgehend mit BGE 136 V 127 S. 130 der früheren Rechtslage überein mit der Ausnahme, dass die Begünstigung des nicht verheirateten Lebenspartners erweitert zulässig wurde, indem sie bei ununterbrochener fünfjähriger Lebensgemeinschaft vor dem Tod oder bei Sorge für ein gemeinsames Kind auch möglich ist, ohne dass eine erhebliche Unterstützung nachgewiesen werden muss ( BGE 136 V 49 E. 4.3-4.5 S. 53 ff.; BGE 135 V 80 E. 3.3 S. 86).</w:t>
      </w:r>
    </w:p>
    <w:p>
      <w:r>
        <w:rPr>
          <w:b/>
        </w:rPr>
        <w:t>E. 4.4</w:t>
      </w:r>
    </w:p>
    <w:p>
      <w:r>
        <w:t>Ob die Vorsorgeeinrichtung die Begünstigung der in Art. 20a BVG erwähnten Personen von einschränkenderen Bedingungen als den im Gesetz genannten abhängig machen kann, ist umstritten (verneinend: Mitteilungen des BSV über die berufliche Vorsorge Nr. 79 vom 27. Januar 2005 Ziff. 472 S. 8 f.; bejahend: MARKUS MOSER, Die Lebenspartnerschaft in der beruflichen Vorsorge nach geltendem und künftigem Recht, AJP 2004 S. 1511; HANS-ULRICH STAUFFER, Berufliche Vorsorge, 2005, S. 263 Rz. 708) und geht aus dem Wortlaut des Gesetzes nicht klar hervor. Die Regelung ist jedenfalls in dem Sinne zwingend, als die Vorsorgeeinrichtungen an die darin genannten Personenkategorien sowie an die Kaskadenfolge gebunden sind. Nach wie vor gehört aber die Begünstigung der in Art. 20a BVG genannten Personen zu der überobligatorischen Vorsorge; die Vorsorgeeinrichtungen sind frei, ob sie überhaupt Leistungen an diese Personen vorsehen wollen ( BGE 136 V 49 E. 3.2 S. 51 f.; BBl 2000 2683 Ziff. 2.9.6.1, 2691; STAUFFER, a.a.O., S. 261 f. Rz. 703; MOSER, a.a.O., S. 1510).</w:t>
      </w:r>
    </w:p>
    <w:p>
      <w:r>
        <w:rPr>
          <w:b/>
        </w:rPr>
        <w:t>E. 4.5</w:t>
      </w:r>
    </w:p>
    <w:p>
      <w:r>
        <w:t>Wenn somit ein Anspruch der in Art. 20a BVG genannten Personen nicht von Gesetzes wegen besteht, sondern nur, wenn das Reglement der Vorsorgeeinrichtung einen solchen statuiert ( Art. 49 Abs. 1 und Art. 50 BVG ), dann scheint es folgerichtig, dass das Reglement diese Begünstigung auch von einer entsprechenden Erklärung des Versicherten abhängig machen kann. Dafür spricht, dass im Bereich des Überobligatoriums - im Rahmen der verfassungsmässigen und gesetzlichen Schranken - eine grosse Autonomie der Vorsorgeeinrichtungen besteht ( Art. 49 Abs. 1 BVG ; BGE 136 V 49 E. 4.6 S. 56). Weder aus dem Wortlaut von Art. 20a BVG noch aus den Materialien dazu ergibt sich, dass damit die vorher bestehende Möglichkeit, die Begünstigung von einer Erklärung des Versicherten abhängig zu machen (E. 4.1), aufgehoben werden sollte. Mit einem solchen Erfordernis wird nicht eine zusätzliche materielle Bedingung, sondern nur eine formelle Voraussetzung aufgestellt. Es entspricht auch der Natur der nichtehelichen Lebensgemeinschaft, dass im Unterschied zur gesetzlich geregelten Ehe die Beziehungen BGE 136 V 127 S. 131 zwischen den Partnern vollumfänglich deren Autonomie überlassen werden. Diese Flexibilität dürfte ein wichtiger Grund sein dafür, dass manche Paare jene Lebensform der Ehe vorziehen. Es ist daher systemkonform, wenn auch in der 2. Säule die Begünstigung der nichtehelichen Lebenspartner vom Willen der Beteiligten abhängig gemacht wird. Schliesslich gelten die Überlegungen zur Rechtssicherheit (E. 4.1) weiterhin. Auch in der Literatur wird die Auffassung vertreten, dass die Reglemente die Abgabe einer Begünstigungserklärung oder eine schriftliche Unterhaltsvereinbarung verlangen können (MOSER, a.a.O., S. 1512; ISABELLE VETTER-SCHREIBER, Berufliche Vorsorge, 2. Aufl. 2009, N. 2 und 10 f. zu Art. 20a BVG ) oder dass die versicherte Person innerhalb der in Art. 20a genannten Kaskaden die begünstigten Personen bezeichnen kann (WILLI LÖTSCHER, Die neuen Begünstigungsmöglichkeiten in der beruflichen Vorsorge nach der 1. BVG-Revision, HAVE 2005 S. 163; VETTER-SCHREIBER, a.a.O., N. 4 und 7 zu Art. 20a BVG ).</w:t>
      </w:r>
    </w:p>
    <w:p>
      <w:r>
        <w:rPr>
          <w:b/>
        </w:rPr>
        <w:t>E. 4.6</w:t>
      </w:r>
    </w:p>
    <w:p>
      <w:r>
        <w:t>Insgesamt erweist sich die Klausel in Art. 18 Abs. 2 lit. c des Vorsorgereglements, wonach für die Begründung eines Anspruchs zu Lebzeiten eine Begünstigung erfolgt sein muss, als mit Art. 20a BVG vereinbar. Damit wird die gesetzlich zwingende Kaskadenordnung nicht verletzt, weil die reglementarische Reihenfolge der gesetzlichen entspricht und ein rein formelles zusätzliches Erfordernis zulässig ist. Nicht zu entscheiden ist hier, ob dieses Erfordernis auch im Rahmen von Art. 15 FZV (SR 831.425) zulässig wäre, da die Voraussetzungen für eine Begünstigung nach Art. 20a BVG nicht zwingend mit denjenigen nach Art. 15 FZV übereinstimmen ( BGE 135 V 80 E. 3.4 S. 86 f.; vgl. auch BGE 129 III 305 E. 3.3 S. 312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