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65</w:t>
      </w:r>
    </w:p>
    <w:p>
      <w:r>
        <w:t>Bundesgericht (BGE), 2009-09-25, DE</w:t>
      </w:r>
    </w:p>
    <w:p>
      <w:r>
        <w:rPr>
          <w:b/>
        </w:rPr>
        <w:t xml:space="preserve">Quelle: </w:t>
      </w:r>
      <w:r>
        <w:t>https://mcp.opencaselaw.ch/entscheid/bge_BGE_136_I_65</w:t>
      </w:r>
    </w:p>
    <w:p>
      <w:r>
        <w:t>FR: ATF 136 I 65</w:t>
      </w:r>
    </w:p>
    <w:p>
      <w:r>
        <w:t>IT: DTF 136 I 65</w:t>
      </w:r>
    </w:p>
    <w:p>
      <w:pPr>
        <w:pStyle w:val="Heading2"/>
      </w:pPr>
      <w:r>
        <w:t>Regeste</w:t>
      </w:r>
    </w:p>
    <w:p>
      <w:r>
        <w:t>Regeste Art. 8 Abs. 1, Art. 127 Abs. 2 und Art. 190 BV, Art. 7 Abs. 1 StHG; Dividendenbesteuerung; konkrete Normenkontrolle; verfassungsrechtliches Anwendungsgebot von Bundesgesetzen. Formelles (E. 1 und 2). Tragweite des verfassungsrechtlichen Anwendungsgebotes von Bundesgesetzen im Rahmen einer konkreten Normenkontrolle betreffend eine kantonale Regelung, die auf einer fünf Jahre später in Kraft getretenen harmonisierungsrechtlichen Gesetzesbestimmung des Bundes beruht. Auch wenn das Bundesgesetz das kantonale Recht inzwischen abdeckt, ist dessen Verfassungsmässigkeit rückblickend zu überprüfen (E. 3 und 4). Die selektive Bevorzugung der Dividendeneinkünfte qualifizierter Anteilseigner von Unternehmungen bei der Einkommenssteuer führt zu unhaltbaren Unterscheidungen bei der Besteuerung und ist verfassungswidrig. Eine Gleichstellung der benachteiligten Anteilseigner gestützt auf den Grundsatz der Gleichbehandlung im Unrecht ist aber ausgeschlossen, solange und soweit das nachmalige Bundesgesetz die kantonale Regelung nunmehr abdeckt, was die kantonalen Behörden künftig davor bewahrt, die verfassungswidrige Praxis anpassen zu müssen (E. 5). Rechtsfolgen (E. 6).</w:t>
      </w:r>
    </w:p>
    <w:p>
      <w:r>
        <w:t>Regeste Art. 8 al. 1, art. 127 al. 2 et art. 190 Cst., art. 7 al. 1 LHID; imposition des dividendes; contrôle concret des normes; obligation constitutionnelle d'appliquer les lois fédérales. Sur la forme (consid. 1 et 2). Portée de l'obligation constitutionnelle d'appliquer les lois fédérales dans le cadre d'un contrôle concret des normes portant sur une règlementation cantonale, qui repose sur une disposition de droit fédéral harmonisé entrée en vigueur cinq ans plus tard. Même lorsqu'entre-temps le droit cantonal a trouvé une base légale dans le droit fédéral harmonisé, la constitutionnalité de ce droit cantonal doit être examinée rétrospectivement (consid. 3 et 4). Le traitement plus favorable, pour l'impôt sur le revenu, de certains dividendes de propriétaires de parts d'entreprises qualifiées conduit à une imposition différenciée insoutenable et est contraire à la Constitution. L'application du principe de l'égalité de traitement dans l'illégalité, en faveur de propriétaires de parts lésés, est toutefois exclue dans la mesure où la loi fédérale postérieure protège le règlement cantonal, et ce aussi longtemps que tel sera le cas, ce qui préserve les autorités cantonales de devoir à l'avenir adapter leur pratique inconstitutionnelle (consid. 5). Conséquences juridiques (consid. 6).</w:t>
      </w:r>
    </w:p>
    <w:p>
      <w:r>
        <w:t>Regesto Art. 8 cpv. 1, art. 127 cpv. 2 e art. 190 Cost., art. 7 cpv. 1 LAID; imposizione di dividendi; controllo concreto delle norme; obbligo costituzionale di applicare le leggi federali. Aspetti formali (consid. 1 e 2). Portata dell'obbligo sgorgante dalla Costituzione di applicare le leggi federali nell'ambito di un controllo concreto delle norme concernente una regolamentazione cantonale, che si fonda su di una disposizione del diritto federale armonizzato entrata in vigore cinque anni dopo. Anche se, nel frattempo, il diritto cantonale ha trovato una base legale nel diritto federale, la sua costituzionalità va esaminata a posteriori (consid. 3 e 4). Il trattamento privilegiato dei proventi di dividendi di titolari di quote qualificate d'imprese dal profilo dell'imposta sulla sostanza crea delle distinzioni inammissibili nell'imposizione ed è incostituzionale. Applicare il principio dell'uguaglianza di trattamento nell'illegalità nei confronti dei titolari di quote lesi è tuttavia escluso fintantoché e nella misura in cui la regolamentazione cantonale è ormai tutelata dalla legge federale adottata a posteriori, ciò che dispensa le autorità cantonali dal dovere in futuro adattare la loro prassi incostituzionale (consid. 5). Conseguenze giuridiche (consid. 6).</w:t>
      </w:r>
    </w:p>
    <w:p>
      <w:pPr>
        <w:pStyle w:val="Heading2"/>
      </w:pPr>
      <w:r>
        <w:t>Erwägungen</w:t>
      </w:r>
    </w:p>
    <w:p>
      <w:r>
        <w:rPr>
          <w:b/>
        </w:rPr>
        <w:t>E. 1.1</w:t>
      </w:r>
    </w:p>
    <w:p>
      <w:r>
        <w:t>Nach Art. 82 lit. a BGG beurteilt das Bundesgericht Beschwerden gegen Entscheide in Angelegenheiten des öffentlichen Rechts. Beim angefochtenen Steuerentscheid handelt es sich um ein zulässiges Anfechtungsobjekt. Eine Ausnahme nach Art. 83-85 BGG liegt nicht vor. Entgegen der Auffassung der Beschwerdeführer gilt in Steuerstreitigkeiten keine Streitwertgrenze. Gegen den angefochtenen Entscheid steht daher die Beschwerde in öffentlich-rechtlichen Angelegenheiten nach Art. 82 ff. BGG offen. Damit erweist sich die subsidiäre Verfassungsbeschwerde nach Art. 113 BGG als unzulässig, weshalb insoweit auf die Beschwerde nicht eingetreten werden kann.</w:t>
      </w:r>
    </w:p>
    <w:p>
      <w:r>
        <w:rPr>
          <w:b/>
        </w:rPr>
        <w:t>E. 1.2</w:t>
      </w:r>
    </w:p>
    <w:p>
      <w:r>
        <w:t>Zur Beschwerde an das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Der hier angefochtene Entscheid regelt die Veranlagung der Beschwerdeführer bei den direkten kantonalen BGE 136 I 65 S. 68 Steuern der Perioden 2004 und 2005. Sie sind davon besonders berührt und haben ein schutzwürdiges Interesse an dessen Aufhebung oder Änderung. Fraglich erscheint einzig, ob die beschwerdeführende Ehefrau am Verfahren vor der Vorinstanz teilgenommen hat. Die damalige Beschwerde wurde lediglich vom Ehemann eingereicht, das Obergericht ging aber von einer gemeinsamen Beschwerdeführung durch beide Ehegatten aus, was sich sowohl aus dem Rubrum als auch aus der Begründung des angefochtenen Entscheides ergibt. Wie es sich damit verhält, kann aber offenbleiben, ist doch jedenfalls der Ehemann zur Beschwerdeerhebung berechtigt.</w:t>
      </w:r>
    </w:p>
    <w:p>
      <w:r>
        <w:rPr>
          <w:b/>
        </w:rPr>
        <w:t>E. 1.3</w:t>
      </w:r>
    </w:p>
    <w:p>
      <w:r>
        <w:t>Für die Beschwerde an das Bundesgericht gelten die im Gesetz vorgesehenen Begründungsanforderungen.</w:t>
      </w:r>
    </w:p>
    <w:p>
      <w:r>
        <w:rPr>
          <w:b/>
        </w:rPr>
        <w:t>E. 1.3.1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Beschwerdeschrift diesen Begründungsanforderungen nicht genügt, so ist darauf nicht einzutreten ( Art. 106 Abs. 1 BGG ; vgl. BGE 134 II 244 E. 2.1 S. 245 f.).</w:t>
      </w:r>
    </w:p>
    <w:p>
      <w:r>
        <w:rPr>
          <w:b/>
        </w:rPr>
        <w:t>E. 1.3.2</w:t>
      </w:r>
    </w:p>
    <w:p>
      <w:r>
        <w:t>Die Beschwerdeführer legen nicht dar, inwiefern im vorliegenden Zusammenhang Art. 11 Abs. 1 KV/SH eine massgebliche Garantiewirkung entfalten sollte, insbesondere inwieweit die Bestimmung ihnen einen Schutz böte, der über die Garantien der Bundesverfassung hinaus reicht. Überdies fehlt es an einer tauglichen Beschwerdebegründung, soweit sich die Beschwerde gegen die Veranlagung bei der Vermögenssteuer richtet. Die Ausführungen der Beschwerdeführer beziehen sich einzig auf die Einkommenssteuer. Inwiefern sie auch für die Vermögenssteuer gelten sollten bzw. wieweit sie für diese übernommen werden könnten, wird nicht dargetan. Eingehendere Erläuterungen wären umso mehr erforderlich gewesen, als sich die Verhältnisse bei der Vermögenssteuer nicht von vorneherein gleich darstellen wie bei der Dividendenbesteuerung. Schliesslich fehlt auch eine taugliche Begründung zur Frage der unterschiedlichen Behandlung von Gesellschaften mit oder ohne Sitz in der BGE 136 I 65 S. 69 Schweiz sowie zur Verfassungsmässigkeit der Voraussetzung einer Beteiligung am Verkehrswert einer Unternehmung von mindestens zwei Millionen Franken. Auf alle diese Punkte ist mangels rechtsgenüglicher Beschwerdebegründung nicht näher einzugehen, weshalb auf die Beschwerde in diesem Umfang nicht eingetreten werden kann.</w:t>
      </w:r>
    </w:p>
    <w:p>
      <w:r>
        <w:rPr>
          <w:b/>
        </w:rPr>
        <w:t>E. 2.1</w:t>
      </w:r>
    </w:p>
    <w:p>
      <w:r>
        <w:t>Art. 38 Abs. 3a des Gesetzes vom 20. März 2000 über die direkten Steuern des Kantons Schaffhausen (Rechtsbuch des Kt. SH 641. 100; nachfolgend: StG/SH) bestimmt, dass für ausgeschüttete Gewinne aus Kapitalgesellschaften und Genossenschaften mit Sitz in der Schweiz die Steuer zum halben Satz des steuerbaren Gesamteinkommens berechnet wird, sofern die steuerpflichtige Person eine Beteiligungsquote von mindestens 20 Prozent am Kapital hält oder die Beteiligung einen Verkehrswert von mindestens zwei Millionen Franken aufweist. Für die Vermögensbesteuerung enthält Art. 49 Abs. 2b StG /SH eine analoge Regelung, auf die hier aber nicht näher einzugehen ist (vgl. E. 1.3.2). Die beiden Bestimmungen sind am 1. Januar 2004 in Kraft getreten und gelten ab der Steuerperiode 2004.</w:t>
      </w:r>
    </w:p>
    <w:p>
      <w:r>
        <w:rPr>
          <w:b/>
        </w:rPr>
        <w:t>E. 2.2</w:t>
      </w:r>
    </w:p>
    <w:p>
      <w:r>
        <w:t>Die Beschwerdeführer halten verschiedene Anteile an Kapitalgesellschaften und Genossenschaften. Keine Beteiligung erreicht dabei eine Quote von 20 % oder einen Verkehrswert von mindestens zwei Millionen Franken. Die gesetzlichen Voraussetzungen für eine Teilsatzbesteuerung sind somit nicht erfüllt. Die Beschwerdeführer rügen denn auch nicht eine unkorrekte Anwendung des Gesetzesrechts, sondern sind der Ansicht, bereits die Regelung der wirtschaftlichen Doppelbelastung der Kapitalgesellschaften und Genossenschaften bzw. ihrer Anteilsinhaber im schaffhausischen Gesetzesrecht sei verfassungswidrig. Sie schliessen daraus, es seien ihnen als Anteilseigner kleineren Umfanges dieselben Vorteile einzuräumen wie den qualifizierten Teilhabern, die von der Steuerentlastung profitierten.</w:t>
      </w:r>
    </w:p>
    <w:p>
      <w:r>
        <w:rPr>
          <w:b/>
        </w:rPr>
        <w:t>E. 2.3</w:t>
      </w:r>
    </w:p>
    <w:p>
      <w:r>
        <w:t>Mit der Beschwerde in öffentlich-rechtlichen Angelegenheiten können auch kantonale Erlasse angefochten werden ( Art. 82 BGG ). Zur abstrakten Anfechtung von § 38 Abs. 3a StG /SH ist indessen die Frist zu Beschwerde längst abgelaufen. In Frage kommt nur noch die Beschwerde gegen den konkreten Einzelakt oder Entscheid. Mit dieser kann auch die Überprüfung des kantonalen Rechts auf dessen Verfassungsmässigkeit hin verlangt werden. Diese so genannte konkrete Normenkontrolle beschränkt sich auf die im Einzelfall zur BGE 136 I 65 S. 70 Anwendung gelangende Norm, soweit sie für den Fall massgeblich ist. In Bezug auf einen Steuertarif im Rahmen eines Steuerveranlagungsverfahrens für eine bestimmte Steuerperiode kann daher der kantonale Steuertarif nur insofern auf seine Verfassungsmässigkeit geprüft werden, als er Tarifpositionen betrifft, die konkret zur Anwendung gelangen oder mindestens durch den Rügegrund (z.B. wegen rechtsungleicher Besteuerung) miteinbezogen sind (Urteil 2C_397/2007 vom 18. März 2008 E. 1.4 nicht publ. in: BGE 134 I 248 ).</w:t>
      </w:r>
    </w:p>
    <w:p>
      <w:r>
        <w:rPr>
          <w:b/>
        </w:rPr>
        <w:t>E. 3.1</w:t>
      </w:r>
    </w:p>
    <w:p>
      <w:r>
        <w:t>Mit Beschluss vom 23. März 2007 änderte die Bundesversammlung im Rahmen der so genannten Unternehmenssteuerreform II verschiedene steuerrechtliche Bestimmungen des Bundes. Unter anderem fügte sie in Art. 7 Abs. 1 des Bundesgesetzes vom 14. Dezember 1990 über die Harmonisierung der direkten Steuern der Kantone und Gemeinden (Steuerharmonisierungsgesetz, StHG; SR 642.14) den folgenden zweiten Satz ein (BBl 2007 2321): "Bei Dividenden, Gewinnanteilen, Liquidationsüberschüssen und geldwerten Vorteilen aus Beteiligungen aller Art, die mindestens 10 Prozent des Grund- oder Stammkapitals ausmachen (qualifizierte Beteiligungen), können die Kantone die wirtschaftliche Doppelbelastung von Körperschaften und Anteilsinhabern mildern." Parallel dazu ergingen die Art. 18b und Art. 20 Abs. 1 lit. c und Abs. 1 bis des Bundesgesetzes vom 14. Dezember 1990 über die direkte Bundessteuer (DBG; SR 642.11) , die eine Milderung der Steuerbelastung bei der direkten Bundessteuer durch eine bloss teilweise Besteuerung des Dividendenertrages vorsehen. Nachdem gegen die Unternehmenssteuerreform II ein Referendum zustande gekommen war, wurde die Gesetzesnovelle in der eidgenössischen Volksabstimmung vom 24. Februar 2008 angenommen (BBl 2008 2781). Sie trat am 1. Januar 2009 in Kraft (AS 2008 2893, 2902).</w:t>
      </w:r>
    </w:p>
    <w:p>
      <w:r>
        <w:rPr>
          <w:b/>
        </w:rPr>
        <w:t>E. 3.2</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2. Aufl. 2008, Bd. II, N. 8 zu Art. 190 BV ), und es kann sich rechtfertigen, vorfrageweise die Verfassungswidrigkeit BGE 136 I 65 S. 71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w:t>
      </w:r>
    </w:p>
    <w:p>
      <w:r>
        <w:rPr>
          <w:b/>
        </w:rPr>
        <w:t>E. 3.3</w:t>
      </w:r>
    </w:p>
    <w:p>
      <w:r>
        <w:t>Im vorliegenden Fall steht eine kantonale Gesetzesbestimmung in Frage. Dafür gilt das Anwendungsgebot von Art. 190 BV grundsätzlich nicht. Setzt das kantonale Steuergesetz allerdings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ab, ob sich die Prüfung der Vereinbarkeit mit dem Verfassungsrecht trotz Anwendungsgebots rechtfertigt.</w:t>
      </w:r>
    </w:p>
    <w:p>
      <w:r>
        <w:rPr>
          <w:b/>
        </w:rPr>
        <w:t>E. 3.4</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BGE 119 Ia 460 E. 4d S. 473 mit Hinweisen). Das kann aber nicht unbeschränkt gelten, sondern setzt einen engen Zusammenhang vor allem in sachlicher und zeitlicher Hinsicht voraus.</w:t>
      </w:r>
    </w:p>
    <w:p>
      <w:r>
        <w:rPr>
          <w:b/>
        </w:rPr>
        <w:t>E. 3.5</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durch eine Reduktion des Steuersatzes oder wie in den neuen, parallel ergangenen Art. 18b und Art. 20 Abs. 1 lit. c und Abs. 1 bis DBG durch eine bloss BGE 136 I 65 S. 72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insbes.URS R. BEHNISCH, in: Die schweizerische Bundesverfassung, a.a.O., N. 28 zu Art. 129 BV ; derselbe , Steuerwettbewerb trotz seiner Zähmung ein Stein des Anstosses,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4.1</w:t>
      </w:r>
    </w:p>
    <w:p>
      <w:r>
        <w:t>Art. 38 Abs. 3a StG /SH entspricht dem revidierten Art. 7 Abs. 1 StHG und wird von diesem seit dessen Inkrafttreten am 1. Januar 2009 inhaltlich gedeckt. Schon seit längerem wurde die Frage der Verfassungskonformität der Unternehmenssteuerreform in Fachkreisen diskutiert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Neue Zürcher Zeitung vom 29. Januar 2008; ETIENNE GRISEL, Rechtsgutachten zu Handen des Eidgenössischen Finanzdepartements vom 29. November 2006; KEUSCHNIGG/DIETZ, Volkswirtschaftliche Auswirkungen der Unternehmenssteuerreform II, Gutachten im Auftrag der Eidgenössischen Steuerverwaltung vom 24. September 2002; MATTEOTTI/FELBER, Verfassungsrechtliche Kritik an der Unternehmenssteuerreform II, Jusletter vom 11. Februar 2008; ROBERT WALDBURGER, Die Vorlage BGE 136 I 65 S. 73 verletzt offenkundig die Verfassung, Tagesanzeiger vom 22. Dezember 2007; WALDBURGER/BAUMANN,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2000, S.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4.2</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heute durch den Bundesgesetzgeber abgedeckt. Eine allfällige Verfassungswidrigkeit unterläge daher ab dem 1. Januar 2009 dem Anwendungsgebot und liesse sich jedenfalls mit Wirkung ab diesem Zeitpunkt vom Bundesgericht nicht mehr korrigieren.</w:t>
      </w:r>
    </w:p>
    <w:p>
      <w:r>
        <w:rPr>
          <w:b/>
        </w:rPr>
        <w:t>E. 4.3</w:t>
      </w:r>
    </w:p>
    <w:p>
      <w:r>
        <w:t>Zu prüfen bleibt indessen die Tragweite von Art. 190 BV in zeitlicher Hinsicht. Art. 38 Abs. 3a StG /SH ist am 1. Januar 2004 und damit fünf Jahre vor Art. 7 Abs. 1 StHG in der Fassung vom 23. März 2007 in Kraft getreten. Es fragt sich, ob sich das spätere BGE 136 I 65 S. 74 Bundesrecht bereits auf die hier fraglichen Steuerperioden 2004 und 2005 auswirken kann.</w:t>
      </w:r>
    </w:p>
    <w:p>
      <w:r>
        <w:rPr>
          <w:b/>
        </w:rPr>
        <w:t>E. 4.3.1</w:t>
      </w:r>
    </w:p>
    <w:p>
      <w:r>
        <w:t>Ob die Geltung von Art. 7 Abs. 1 StHG in der Fassung vom 23. März 2007 auf eine positive Vorwirkung (einer bei seiner Anwendung noch nicht in Kraft getretenen Bestimmung) oder auf eine echten Rückwirkung (der Anwendung nachträglich neuen Rechts auf einen abgeschlossenen Sachverhalt) hinausläuft, kann hier offenbleiben. Genau genommen findet das neue Bundesrecht nicht direkt Anwendung; vielmehr geht es darum, wieweit ein späteres Bundesgesetz vorbestandenes kantonales Recht vor verfassungsgerichtlicher Überprüfung durch das Bundesgericht zu bewahren vermag. Im Allgemeinen gelten so oder anders strenge Voraussetzungen - wie das Erfordernis einer eindeutigen gesetzlichen Grundlage, von triftigen Gründen, der Wahrung des Verhältnismässigkeitsprinzips usw. - für die Zulässigkeit der Vor- oder Rückwirkung von Gesetzesrecht (vgl. BGE 125 I 182 E. 2b/cc S. 186; BGE 119 Ia 254 E. 3b S. 258; HÄFELIN/MÜLLER/UHLMANN, Allgemeines Verwaltungsrecht, 5. Aufl. 2006, S. 64 ff., Rz. 322 ff.; TSCHANNEN/ZIMMERLI/MÜLLER, Allgemeines Verwaltungsrecht, 3. Aufl. 2009, S. 186 ff., Rz. 8 ff.). Im vorliegenden Zusammenhang ist dementsprechend entscheidend, ob zwischen der Revision des Steuerharmonisierungsgesetzes und der entsprechenden kantonalen Steuerregelung ein genügend enger Zusammenhang vor allem in sachlicher und zeitlicher Hinsicht besteht, der den Schutz vor verfassungsgerichtlicher Kontrolle in einem konkreten Anwendungsfall und nicht im Rahmen einer abstrakten Normenkontrolle zu rechtfertigen vermöchte (vgl. E. 3.4).</w:t>
      </w:r>
    </w:p>
    <w:p>
      <w:r>
        <w:rPr>
          <w:b/>
        </w:rPr>
        <w:t>E. 4.3.2</w:t>
      </w:r>
    </w:p>
    <w:p>
      <w:r>
        <w:t>Die fragliche schaffhausische Gesetzesbestimmung wurde am 15. September 2003 erlassen. Sie trat am 1. Januar 2004 in Kraft. Seit etwa 2001 gab es zwar im Bund verwaltungsinterne Abklärungen zur Unternehmenssteuerentlastung, die bundesrätliche Botschaft zum Unternehmenssteuerreformgesetz II datiert aber erst vom 22. Juni 2005 (BBl 2005 4733), erging also rund anderthalb Jahre, nachdem der Kanton Schaffhausen die Entlastung eingeführt hatte. Die beiden Gesetzesrevisionen im Bund und im Kanton stehen nicht in einem derart engen Konnex, dass jene diese bereits damals hätte inhaltlich abdecken können. Sowohl die Frage, ob es je zu einer Änderung des Bundesgesetzes kommen würde, als auch die eventuelle materielle Ausgestaltung des Bundesrechts waren damals völlig offen. Die Vorlage war nicht nur in der Lehre, in der Verwaltung und im Parlament umstritten, sondern auch die BGE 136 I 65 S. 75 Volksabstimmung im Februar 2008 fiel knapp aus (vgl. BBl 2008 2781). Es ist ausgeschlossen, dass eine allfällige Verfassungswidrigkeit des kantonalen Rechts in den Jahren 2004 und 2005 von der im Jahre 2007 von der Bundesversammlung beschlossenen, 2008 vom Volk angenommenen und 2009 in Kraft getretenen Bundesgesetzesnovelle beseitigt werden könnte, deren Zustandekommen damals ungesichert und deren Inhalt unbekannt waren. Hätten überdies die Beschwerdeführer die schaffhausische Regelung 2003 im Verfahren der abstrakten Normenkontrolle angefochten, wäre ein Abstellen auf eine Bundesnorm, zu der damals noch nicht einmal eine bundesrätliche Botschaft vorlag, von vornherein ausser Betracht gefallen. Dass sich die Frage heute stellt, hängt lediglich damit zusammen, dass die Beschwerdeführer damals nicht mit abstrakter Normenkontrolle den Erlass, sondern später im Verfahren der konkreten Normenkontrolle die Steuerveranlagungen für die Jahre 2004 und 2005 angefochten haben. Einzig das bundesprozessuale Erfordernis, den kantonalen Instanzenzug vollständig zu durchlaufen, führte dazu, dass das neue Harmonisierungsrecht des Bundes inzwischen in Kraft treten konnte. Das vermag aber nicht die Geltung des Anwendungsgebots von Art. 190 BV mit der Folge zu rechtfertigen, dass die ausschliesslich auf das kantonale Gesetz gestützten Veranlagungen der Beschwerdeführer wegen des deutlich später erlassenen Bundesrechts von der Überprüfung auf Verfassungsmässigkeit ausgeschlossen wären.</w:t>
      </w:r>
    </w:p>
    <w:p>
      <w:r>
        <w:rPr>
          <w:b/>
        </w:rPr>
        <w:t>E. 4.4</w:t>
      </w:r>
    </w:p>
    <w:p>
      <w:r>
        <w:t>Die angefochtenen Steuerveranlagungen für die Jahre 2004 und 2005 sind demnach rückblickend auf Verfassungsmässigkeit hin zu überprüfen.</w:t>
      </w:r>
    </w:p>
    <w:p>
      <w:r>
        <w:rPr>
          <w:b/>
        </w:rPr>
        <w:t>E. 5.1</w:t>
      </w:r>
    </w:p>
    <w:p>
      <w:r>
        <w:t>In der Sache verlangen die Beschwerdeführer nicht, es sei der kantonalen Gesetzesbestimmung über die Entlastung bei der wirtschaftlichen Doppelbelastung von Unternehmen und deren Teilhabern die Anwendung zu versagen. Vielmehr wollen die Beschwerdeführer gleich behandelt werden wie die qualifizierten Anteilseigner, die von der Teilsatzbesteuerung profitieren. Sie machen damit sinngemäss für ihr eigenes Dividendeneinkommen eine Gleichbehandlung im Unrecht geltend, indem sie dieselbe Begünstigung verlangen, wie sie nach ihrer Ansicht in Verletzung des Verfassungsrechts den qualifizierten Anteilseignern zugestanden wird. Eine solche Gleichbehandlung wäre nicht zum vornherein ausgeschlossen (vgl. etwa ASA 76 S. 693, 2A.647/2005 E. 4; ASA 59 S. 733, 2P.261/1988 BGE 136 I 65 S. 76 E. 3; StE 2005 A 21.11 Nr. 45, 2P.319/2003 E. 3.2), untersteht aber besonderen Anforderungen, auf die zurückzukommen sein wird (vgl. E. 5.6). Vorfrageweise ist so oder so im Sinne einer konkreten Normenkontrolle zu prüfen, ob die schaffhausische Regelung bei der Dividendenbesteuerung gegen Verfassungsrecht verstösst.</w:t>
      </w:r>
    </w:p>
    <w:p>
      <w:r>
        <w:rPr>
          <w:b/>
        </w:rPr>
        <w:t>E. 5.2</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134 I 248 E. 2 S. 251 f.; BGE 133 I 206 E. 6.1 S. 215 f.; Urteil 2P.233/2002 vom 27. Januar 2003 E. 3.2, in: StE 2003 B 21.1 Nr. 11;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Schaffhausen in der so genannten wirtschaftlichen Doppelbelastung.</w:t>
      </w:r>
    </w:p>
    <w:p>
      <w:r>
        <w:rPr>
          <w:b/>
        </w:rPr>
        <w:t>E. 5.4</w:t>
      </w:r>
    </w:p>
    <w:p>
      <w:r>
        <w:t>Wieweit es eine solche Doppelbelastung gibt, ist allerdings umstritten (zur Literatur vgl. die Angaben in E. 4.1). Rechtlich werden Dividendeneinkünfte zum vornherein nicht doppelt belastet. Zwar BGE 136 I 65 S. 77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Der schaffhausische Gesetzgeber hat sich selektiv dafür entschieden, Beteiligungseinkünfte im Halbsatzverfahren zu besteuern, wenn die Beteiligungsquote 20 % (oder einen Verkehrswert von mindestens zwei Millionen Franken) erreicht. Im Übrigen wird aber sowohl bei der Unternehmung die Gewinnsteuer erhoben als auch bei den Anteilseignern die Dividende als Einkommen besteuert. Ein Systemwechsel zu einer wirtschaftlichen Betrachtungsweise im Verhältnis zwischen juristischer und daran beteiligter natürlicher Person liegt nicht vor. Vielmehr geht es um eine selektive Bevorzugung der BGE 136 I 65 S. 78 Dividendeneinkünfte qualifizierter Anteilseigner. Der Gesetzgeber verfällt in einen Methodenpluralismus, indem er für die qualifizierten Teilhaber auf eine wirtschaftliche Betrachtungsweise übergeht, im Übrigen aber die zivilrechtliche Betrachtungsweise im Verhältnis zwischen juristischer Person und daran beteiligter natürlicher Person beibehält. Ein hinreichender Grund für diese Bevorzugung qualifizierter Anteilseigner ist nicht ersichtlich. Zwar wird dafür geltend gemacht, diese seien eigentliche Unternehmer, die ein unternehmerisches Risiko trügen und im Betrieb Verantwortung übernähmen. Die Dividende ist aber nichts anderes als die erfolgsabhängige Entschädigung für das hingegebene Kapital. Wenn ein Anteilseigner sich nicht darauf beschränkt, Kapital hinzugeben, sondern sich in der Unternehmung anderweitig engagiert, wird er dafür separat entschädigt, in Form von Arbeitslohn, Tantiemen usw. Es ist kein Grund erkennbar, der es rechtfertigen würde, die Dividende eines kleinen Teilhabers anders, d.h. höher, zu besteuern als diejenige eines grossen Anteileigners. Die vom Kanton Schaffhausen getroffene Regelung verletzt daher das Rechtsgleichheitsgebot, indem qualifizierte Anteilseigner gegenüber anderen ohne sachlichen Grund bevorzugt werden. Das verstösst gegen das Prinzip der Belastungsgleichheit. Die gezogene Trennlinie ist überdies willkürlich: Wer eine Beteiligung von 19 % (oder von 1,99 Millionen Franken) hält, profitiert nicht vom Halbsatzverfahren, sondern muss seine Einkünfte vollständig versteuern. Die Grenzlinie beruht zwar auf einem politischen Entscheid; sie ist aber nicht mit sachlichen Gründen zu rechtfertigen und führt zu unhaltbaren Unterscheidungen bei der Besteuerung. Art. 38 Abs. 3a StG /SH verletzt damit Art. 8 und 127 BV .</w:t>
      </w:r>
    </w:p>
    <w:p>
      <w:r>
        <w:rPr>
          <w:b/>
        </w:rPr>
        <w:t>E. 5.6</w:t>
      </w:r>
    </w:p>
    <w:p>
      <w:r>
        <w:t>Die Beschwerdeführer sprechen sich nicht gegen die Anwendung von Art. 38 Abs. 3a StG /SH aus, sondern verlangen, die als verfassungswidrig erkannte Bestimmung sei im Sinne des Grundsatzes der Gleichbehandlung im Unrecht auf sie selbst bzw. auf ihre Einkünfte aus Beteiligungen an Unternehmungen anzuwenden. Der Anspruch auf Gleichbehandlung im Unrecht wird nach der bundesgerichtlichen Rechtsprechung ausnahmsweise anerkannt, nämlich wenn eine ständige rechtswidrige Praxis einer rechtsanwendenden Behörde vorliegt und die Behörde zu erkennen gibt, dass sie auch in Zukunft nicht von dieser Praxis abzuweichen gedenke (vgl. BGE 134 V 34 E. 9 S. 44; BGE 131 V 9 E. 3.7 S. 20; BGE 127 I 1 E. 3a S. 2 f.). Im vorliegenden Zusammenhang ist zwar nicht zu erwarten, dass die Steuerbehörden des Kantons Schaffhausen der entsprechenden latenten BGE 136 I 65 S. 79 Anpassungspflicht nachkommen und von ihrer als verfassungswidrig erkannten Praxis abweichen werden. Sie haben dazu aber auch keinen Anlass (mehr), nachdem nunmehr die verfassungswidrige Regelung durch das nachmalige Inkrafttreten von Art. 7 Abs. 1 StHG in der Fassung vom 23. März 2007 dem Anwendungsgebot von Art. 190 BV unterliegt bzw. sich die Verfassungswidrigkeit auch der kantonalen Gesetzesbestimmung bzw. von darauf neu ergangenen Veranlagungen deswegen nicht (mehr) sanktionieren lässt. Den Beschwerdeführern hilft der Anspruch auf Gleichbehandlung im Unrecht daher nicht weiter, solange und soweit das Bundesgesetz die schaffhausische Regelung abdeckt und damit die kantonale Praxis vor der verfassungsgerichtlichen Überprüfung mit schützt, was die kantonalen Behörden davor bewahrt, die verfassungswidrige Praxis anpassen zu müssen. Dem Antrag der Beschwerdeführer auf Aufhebung des kantonalen letztinstanzlichen Entscheides über die Veranlagungen der Steuerperioden 2004 und 2005 kann demnach nicht stattgegeben werden, obwohl ihnen in der Sache an sich zu folgen ist.</w:t>
      </w:r>
    </w:p>
    <w:p>
      <w:r>
        <w:rPr>
          <w:b/>
        </w:rPr>
        <w:t>E. 6</w:t>
      </w:r>
    </w:p>
    <w:p>
      <w:r>
        <w:t>Damit rechtfertigt es sich, die Beschwerde im Sinne der Erwägungen abzuweisen, soweit darauf eingetreten werden kann. Unter Berücksichtigung der besonderen Umständen des Falles sind keine Kosten zu erheben ( Art. 66 Abs. 1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