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49</w:t>
      </w:r>
    </w:p>
    <w:p>
      <w:r>
        <w:t>Bundesgericht (BGE), 2009-09-25, DE</w:t>
      </w:r>
    </w:p>
    <w:p>
      <w:r>
        <w:rPr>
          <w:b/>
        </w:rPr>
        <w:t xml:space="preserve">Quelle: </w:t>
      </w:r>
      <w:r>
        <w:t>https://mcp.opencaselaw.ch/entscheid/bge_BGE_136_I_49</w:t>
      </w:r>
    </w:p>
    <w:p>
      <w:r>
        <w:t>FR: ATF 136 I 49</w:t>
      </w:r>
    </w:p>
    <w:p>
      <w:r>
        <w:t>IT: DTF 136 I 49</w:t>
      </w:r>
    </w:p>
    <w:p>
      <w:pPr>
        <w:pStyle w:val="Heading2"/>
      </w:pPr>
      <w:r>
        <w:t>Regeste</w:t>
      </w:r>
    </w:p>
    <w:p>
      <w:r>
        <w:t>Regeste Art. 8 Abs. 1, Art. 127 Abs. 2 und Art. 190 BV, Art. 7 Abs. 1 StHG; Dividendenbesteuerung; abstrakte Normenkontrolle; verfassungsrechtliches Anwendungsgebot von Bundesgesetzen. Formelles (E. 1 und 2). Das Steuerharmonisierungsgesetz des Bundes erlaubt den Kantonen die Privilegierung qualifizierter Anteilseigner von Unternehmungen bei der Besteuerung von Dividenden im Rahmen der Einkommenssteuer. Das verfassungsrechtliche Anwendungsgebot von Bundesgesetzen schliesst die Überprüfung einer vom Bundesgesetz abgedeckten kantonalen Regelung im Rahmen einer abstrakten Normenkontrolle aus, auch wenn das Bundesgesetz erst ein Jahr später in Kraft getreten ist (E. 3 und 4). Die im kantonalen Recht vorgesehene Bevorzugung der Dividendeneinkünfte qualifizierter Anteilseigner von Unternehmungen mit Sitz in der Schweiz (gegenüber solchen mit Sitz im Ausland) sowie die Privilegierung von Beteiligungen, die sich nicht quotenmässig (prozentual), sondern betragsmässig (nach einer bestimmten Summe) berechnen, finden im Bundesgesetz keine Grundlage und sind rechtsungleich und damit verfassungswidrig (E. 5). Dasselbe gilt für die im kantonalen Recht vorgesehene Entlastung qualifizierter Beteiligungen an Unternehmungen bei der Vermögenssteuer (E. 6). Rechtsfolgen (E. 7.1).</w:t>
      </w:r>
    </w:p>
    <w:p>
      <w:r>
        <w:t>Regeste Art. 8 al. 1, art. 127 al. 2 et art. 190 Cst., art. 7 al. 1 LHID; imposition des dividendes; contrôle abstrait des normes; obligation constitutionnelle d'appliquer les lois fédérales. Sur la forme (consid. 1 et 2). La loi fédérale d'harmonisation permet aux cantons de soumettre les dividendes de propriétaires de parts d'entreprises qualifiées à un impôt sur le revenu plus favorable. L'obligation constitutionnelle d'appliquer les lois fédérales exclut, dans le cadre d'un contrôle abstrait des normes, l'examen d'une règlementation cantonale, dont la teneur est conforme à une loi fédérale, même si la loi fédérale n'est entrée en vigueur qu'une année après (consid. 3 et 4). Le traitement préférentiel des dividendes des propriétaires de ces parts d'entreprises sises en Suisse (par opposition à celles sises à l'étranger), prévu par le droit cantonal, de même que celui des participations qui ne sont pas calculées d'après une quote-part (en pourcentage) mais d'après un montant (selon une somme donnée), ne trouve aucun fondement dans la loi fédérale et crée une inégalité de traitement. Partant, ils sont contraires à la Constitution (consid. 5). Il en va de même de l'imposition préférentielle des participations qualifiées dans des entreprises, prévue par le droit cantonal, pour l'impôt sur la fortune (consid. 6). Conséquences juridiques (consid. 7.1).</w:t>
      </w:r>
    </w:p>
    <w:p>
      <w:r>
        <w:t>Regesto Art. 8 cpv. 1, art. 127 cpv. 2 e art. 190 Cost., art. 7 cpv. 1 LAID; imposizione di dividendi; controllo astratto delle norme; obbligo costituzionale di applicare le leggi federali. Aspetti formali (consid. 1 e 2). La legge federale sull'armonizzazione delle imposte autorizza i Cantoni a sottoporre i dividendi di titolari di quote qualificate d'imprese ad un'imposta sul reddito più favorevole. L'obbligo sgorgante dalla Costituzione di applicare le leggi federali esclude che una regolamentazione cantonale ripresa in una legge federale sia esaminata nell'ambito del controllo astratto delle norme, anche se la legge federale è entrata in vigore solo un anno dopo (consid. 3 e 4). Il trattamento privilegiato previsto dal diritto cantonale dei proventi di dividendi di titolari di quote qualificate d'imprese con sede in Svizzera (in opposizione a quelle con sede all'estero) e delle partecipazioni che non sono calcolate secondo una quota (percentuale) ma vengono quantificate (in base ad una determinata somma) non ha una base legale in una legge federale, crea disparità di trattamento ed è, di conseguenza, incostituzionale (consid. 5). Lo stesso dicasi per l'imposizione privilegiata prevista dal diritto cantonale delle partecipazioni qualificate d'imprese dal profilo dell'imposta sulla sostanza (consid. 6). Conseguenze giuridiche (consid. 7.1).</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BGE 136 I 49 S. 53</w:t>
      </w:r>
    </w:p>
    <w:p>
      <w:r>
        <w:rPr>
          <w:b/>
        </w:rPr>
        <w:t>E. 1.2</w:t>
      </w:r>
    </w:p>
    <w:p>
      <w:r>
        <w:t>Angefochten ist vorliegend eine Gesetzesbestimmung, gegen deren Erlass im Kanton Bern kein kantonales Rechtsmittel offensteht. Dagegen kann somit grundsätzlich beim Bundesgericht Beschwerde in öffentlich-rechtlichen Angelegenheiten erhoben werden.</w:t>
      </w:r>
    </w:p>
    <w:p>
      <w:r>
        <w:rPr>
          <w:b/>
        </w:rPr>
        <w:t>E. 1.3</w:t>
      </w:r>
    </w:p>
    <w:p>
      <w:r>
        <w:t>Nach Art. 101 BGG ist die Beschwerde gegen einen Erlass innert 30 Tagen nach der nach dem kantonalen Recht massgebenden Veröffentlichung des Erlasses beim Bundesgericht einzureichen. Das Ergebnis der Volksabstimmung über die angefochtene Gesetzesnovelle vom 24. Februar 2008 wurde am 19. März 2008 im Amtsblatt des Kantons Bern veröffentlicht. Die vorliegende Beschwerde wurde der Post am 9. April 2008 aufgegeben und erging mithin fristgerecht.</w:t>
      </w:r>
    </w:p>
    <w:p>
      <w:r>
        <w:rPr>
          <w:b/>
        </w:rPr>
        <w:t>E. 1.4</w:t>
      </w:r>
    </w:p>
    <w:p>
      <w:r>
        <w:t>Für die Beschwerde an das Bundesgericht gelten die im Gesetz vorgesehenen Begründungsanforderungen.</w:t>
      </w:r>
    </w:p>
    <w:p>
      <w:r>
        <w:rPr>
          <w:b/>
        </w:rPr>
        <w:t>E. 1.4.1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Wird eine Verletzung des Willkürverbots geltend gemacht, muss im Einzelnen dargelegt werden, inwiefern der angefochtene Erlass an einem qualifizierten und offensichtlichen Mangel leidet (vgl. allgemein BGE 134 II 244 E. 2.1 und 2.2 S. 245 f. mit Hinweisen, sowie zur Substantiierungspflicht bei der Willkürrüge im Rahmen der abstrakten Normenkontrolle BGE 128 I 295 E. 7a S. 312).</w:t>
      </w:r>
    </w:p>
    <w:p>
      <w:r>
        <w:rPr>
          <w:b/>
        </w:rPr>
        <w:t>E. 1.4.2</w:t>
      </w:r>
    </w:p>
    <w:p>
      <w:r>
        <w:t>Die Beschwerdebegründung ist zwar knapp, erfüllt aber grundsätzlich die Anforderungen an eine genügende Substantiierung der erhobenen Rügen. Ungenügend ist hingegen die Begründung der Willkürrüge, legt der Beschwerdeführer doch nicht dar, inwiefern ein qualifizierter und offensichtlicher Mangel in der Rechtsetzung vorliegen soll. Insoweit kann daher auf die Beschwerde nicht eingetreten werden.</w:t>
      </w:r>
    </w:p>
    <w:p>
      <w:r>
        <w:rPr>
          <w:b/>
        </w:rPr>
        <w:t>E. 2.1</w:t>
      </w:r>
    </w:p>
    <w:p>
      <w:r>
        <w:t>Gemäss Art. 89 Abs. 1 lit. b und c BGG ist zur Anfechtung eines kantonalen Erlasses legitimiert, wer durch den Erlass aktuell oder BGE 136 I 49 S. 54 virtuell besonders berührt ist und ein schutzwürdiges Interesse an dessen Änderung oder Aufhebung hat. Das schutzwürdige Interesse kann rechtlicher oder tatsächlicher Natur sein ( BGE 133 I 2 86 E. 2.2 S. 290). Virtuelles Berührtsein setzt voraus, dass der Beschwerdeführer von der angefochtenen Regelung früher oder später einmal mit einer minimalen Wahrscheinlichkeit unmittelbar betroffen ist (vgl. BGE 133 I 206 E. 2.1 S. 210). Zur Anfechtung eines kantonalen Steuererlasses sind grundsätzlich die im betroffenen Kanton Steuerpflichtigen legitimiert, d.h. diejenigen Personen, die dort ihren Wohnsitz haben ( BGE 130 I 174 E. 1.2 S. 176 f.). Es kann hier offenbleiben, wieweit die als AVLOCA-Praxis bekannte Rechtsprechung des Bundesgerichts betreffend Legitimation zur Anfechtung eines Erlasses wegen rechtsungleicher Begünstigung mit der früheren staatsrechtlichen Beschwerde (dazu BGE 109 Ia 252 ; BGE 131 I 198 E. 2.6 S. 203; vgl. auch BGE 133 I 206 E. 2.2-2.4 S. 210 f.) auch auf die Beschwerde in öffentlich-rechtlichen Angelegenheiten zugeschnitten ist, woran immerhin angesichts der unterschiedlichen Voraussetzungen gewisse Zweifel bestehen. So oder so bildet ein Steuertarif ein unteilbares Ganzes, der als solcher den verfassungsrechtlichen Anforderungen genügen muss. Jeder Steuerpflichtige muss die Missachtung der verfassungsrechtlichen Grundsätze im Verfahren der abstrakten Normenkontrolle rügen können, selbst wenn sich ein andern Steuerpflichtigen gewährter Vorteil nicht unmittelbar zu seinem Nachteil auswirkt (vgl. BGE 133 I 206 E. 2.1-2.3 S. 210 f.). Nicht zulässig sind hingegen Beschwerden, die im Interesse der Allgemeinheit oder der richtigen Gesetzesanwendung geführt werden ( BGE 125 I 7 E. 3c S. 9; BGE 123 II 376 E. 2 S. 378 f.; BGE 121 II 39 E. 2c/aa S. 44; BERNHARD WALDMANN, in: Basler Kommentar, Bundesgerichtsgesetz, 2008, N. 15 zu Art. 89 BGG ).</w:t>
      </w:r>
    </w:p>
    <w:p>
      <w:r>
        <w:rPr>
          <w:b/>
        </w:rPr>
        <w:t>E. 2.2</w:t>
      </w:r>
    </w:p>
    <w:p>
      <w:r>
        <w:t>Der Beschwerdeführer hat seinen Wohnsitz im Kanton Bern und ist dort steuerpflichtig. Damit untersteht er dem bernischen Steuertarif und ist von diesem als unteilbares Ganzes betroffen. Die hier zu entscheidende Streitsache des anwendbaren Steuersatzes bzw. der Rechtmässigkeit desselben stellt eine Tariffrage dar. Überdies ist der Beschwerdeführer als Fürsprecher unternehmerisch tätig, ohne vom angefochtenen Teilsatzverfahren profitieren zu können. Selbst wenn schliesslich davon ausgegangen würde, dass nur beschwerdeberechtigt ist, wer wenigstens virtuell Aktionär sein kann, trifft dies auf den Beschwerdeführer wohl zu. Zumindest die virtuelle Betroffenheit kann dem Beschwerdeführer daher nicht abgesprochen werden, weshalb er zur Beschwerde legitimiert ist. BGE 136 I 49 S. 55</w:t>
      </w:r>
    </w:p>
    <w:p>
      <w:r>
        <w:rPr>
          <w:b/>
        </w:rPr>
        <w:t>E. 3.1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2. Aufl. 2008, Bd. II,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3.2</w:t>
      </w:r>
    </w:p>
    <w:p>
      <w:r>
        <w:t>Im vorliegenden Fall ist eine kantonale Gesetzesbestimmung angefochten. Dafür gilt das Anwendungsgebot von Art. 190 BV grundsätzlich nicht. Auch der Umstand, dass der Bundesgesetzgeber eine Materie für seinen Kompetenzbereich, hier die direkte Bundessteuer, gleich oder ähnlich wie ein Kanton ordnet, schränkt die Befugnis des Bundesgerichts zur Überprüfung eines kantonalen Erlasses nicht ein; dabei ist sogar in Kauf zu nehmen, dass sich bei einer solchen Prüfung allenfalls Zweifel an der Verfassungsmässigkeit eines Bundesgesetzes ergeben können ( BGE 109 Ia 273 E. 2b S. 277 f.). Setzt das kantonale Steuergesetz jedoch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bzw. vom Vorliegen eines entsprechenden allgemeinen Feststellungsinteresses ab, ob sich die Prüfung der Vereinbarkeit mit dem Verfassungsrecht trotz Anwendungsgebots rechtfertigt. BGE 136 I 49 S. 56</w:t>
      </w:r>
    </w:p>
    <w:p>
      <w:r>
        <w:rPr>
          <w:b/>
        </w:rPr>
        <w:t>E. 3.3</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BGE 119 Ia 460 E. 4d S. 473 mit Hinweisen). Das kann aber nicht unbeschränkt gelten, sondern setzt einen engen Zusammenhang vor allem in sachlicher und zeitlicher Hinsicht voraus.</w:t>
      </w:r>
    </w:p>
    <w:p>
      <w:r>
        <w:rPr>
          <w:b/>
        </w:rPr>
        <w:t>E. 3.4</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wie in der angefochtenen bernischen Regelung durch eine Reduktion des Steuersatzes oder wie in den neuen, parallel ergangenen Art. 18b und Art. 20 Abs. 1 lit. c und Abs. 1 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Die schweizerische Bundesverfassung, a.a.O., N. 28 zu Art. 129 BV ; derselbe , Steuerwettbewerb trotz seiner Zähmung ein Stein des Anstosses,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BGE 136 I 49 S. 57 Harmonisierungsrecht auch an anderer Stelle Sondertarife, so etwa inArt. 11 StHG.</w:t>
      </w:r>
    </w:p>
    <w:p>
      <w:r>
        <w:rPr>
          <w:b/>
        </w:rPr>
        <w:t>E. 4.1</w:t>
      </w:r>
    </w:p>
    <w:p>
      <w:r>
        <w:t>Der angefochtene Art. 42 Abs. 3 StG /BE für die Einkommenssteuer entspricht weitgehend dem revidierten Art. 7 Abs. 1 StHG und wird von diesem seit dessen Inkrafttreten am 1. Januar 2009 im entsprechenden Umfang inhaltlich gedeckt. Eine allfällige diesbezügliche Verfassungswidrigkeit unterliegt daher seit dem 1. Januar 2009 dem Anwendungsgebot und lässt sich jedenfalls mit Wirkung ab diesem Zeitpunkt vom Bundesgericht nicht mehr korrigieren. Damit wird dem Antrag auf Aufhebung der ganzen Bestimmung die Grundlage entzogen. Selbst im Falle, dass die angefochtene Bestimmung insoweit verfassungswidrig sein sollte, wäre es unverhältnismässig und würde es sich nicht rechtfertigen, diese Gesetzesnorm aufzuheben, und den Kanton nochmals in ein Gesetzgebungsverfahren zu zwingen, um eine gleich lautende Bestimmung zu erlassen, die nunmehr vom neuen Bundesgesetz gedeckt wäre. Unabhängig davon, ob die angefochtene kantonale Bestimmung und die hier nur vorfrageweise angesprochene neue bundesgesetzliche Norm verfassungskonform sind oder nicht, sind sie jedenfalls seit dem 1. Januar 2009 im entsprechenden Umfang anwendbar.</w:t>
      </w:r>
    </w:p>
    <w:p>
      <w:r>
        <w:rPr>
          <w:b/>
        </w:rPr>
        <w:t>E. 4.2</w:t>
      </w:r>
    </w:p>
    <w:p>
      <w:r>
        <w:t>Es könnte sich immerhin fragen, ob etwas anderes zu gelten hätte, falls die kantonale Regelung über diejenige des Bundesrechts hinausginge, also insbesondere Erleichterungen gewähren würde, die vom Bundesrecht nicht mehr gedeckt wären, indem sie etwa nicht nur die wirtschaftliche Doppelbelastung beseitigen, sondern weitergehende Steuervorteile bieten würde. Der Beschwerdeführer behauptet eine solche überschiessende Wirkung.</w:t>
      </w:r>
    </w:p>
    <w:p>
      <w:r>
        <w:rPr>
          <w:b/>
        </w:rPr>
        <w:t>E. 4.3</w:t>
      </w:r>
    </w:p>
    <w:p>
      <w:r>
        <w:t>Entscheidend ist in diesem Zusammenhang bei der Einkommenssteuer, dass die Frage der Verfassungskonformität der Unternehmenssteuerreform in Fachkreisen schon seit längerem diskutiert wurde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Neue Zürcher Zeitung vom 29. Januar 2008; ETIENNE GRISEL, Rechtsgutachten zu Handen des BGE 136 I 49 S. 58 Eidgenössischen Finanzdepartements vom 29. November 2006; KEUSCHNIGG/DIETZ, Volkswirtschaftliche Auswirkungen der Unternehmenssteuerreform II, Gutachten im Auftrag der Eidgenössischen Steuerverwaltung vom 24. September 2002; MATTEOTTI/FELBER, Verfassungsrechtliche Kritik an der Unternehmenssteuerreform II, Jusletter vom 11. Februar 2008; ROBERT WALDBURGER, Die Vorlage verletzt offenkundig die Verfassung, Tagesanzeiger vom 22. Dezember 2007; WALDBURGER/BAUMANN,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2000, S.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4.4</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durch den Bundesgesetzgeber abgedeckt. Dabei muss nicht in jedem Kanton aufgrund der konkreten Steuersätze der Nachweis erbracht BGE 136 I 49 S. 59 werden, dass in jeder möglichen Konstellation die Entlastung nicht höher ausfällt als die tatsächliche Doppelbelastung. Es besteht demnach kein genügendes allgemeines Interesse an einer vollständigen verfassungsrechtlichen Überprüfung des bernischen Halbsatzverfahrens im vom Bundesgesetz abgedeckten Rahmen. Nebst dem Bund haben im Übrigen inzwischen mindestens 18 Kantone mehr oder weniger parallel zum Gesetzgebungsverfahren des Bundes analoge Gesetzesrevisionen durchgeführt. Darüber kann sich das Bundesgericht nicht ohne stichhaltigen Grund hinwegsetzen.</w:t>
      </w:r>
    </w:p>
    <w:p>
      <w:r>
        <w:rPr>
          <w:b/>
        </w:rPr>
        <w:t>E. 4.5</w:t>
      </w:r>
    </w:p>
    <w:p>
      <w:r>
        <w:t>Fraglich erscheint allenfalls, ob die bundesgesetzliche Regelung auch geeignet ist, die Besteuerung durch den Kanton Bern im Jahre 2008 abzudecken. Entscheidend ist in diesem Zusammenhang jedoch, dass der Beschwerdeführer die entsprechende Übergangsbestimmung zu Art. 42 Abs. 3 StG /BE, worin die Geltung dieser Regelung für das Steuerjahr 2008 vorgesehen ist, nicht angefochten hat. Im Übrigen fehlt es auch an einer diesbezüglichen Beschwerdebegründung. Auf die Frage der Anwendbarkeit von Art. 42 Abs. 3 StG /BE für das Steuerjahr 2008 ist daher nicht einzugehen.</w:t>
      </w:r>
    </w:p>
    <w:p>
      <w:r>
        <w:rPr>
          <w:b/>
        </w:rPr>
        <w:t>E. 5.1</w:t>
      </w:r>
    </w:p>
    <w:p>
      <w:r>
        <w:t>In zweierlei Hinsicht weicht Art. 42 Abs. 3 StG /BE freilich vom Wortlaut von Art. 7 Abs. 1 StHG ab: So sieht die kantonale Bestimmung einerseits vor, dass das Halbsatzverfahren nur für die Beteiligungen an Unternehmen mit Sitz in der Schweiz gelten soll, und sie lässt andererseits die Teilsatzbesteuerung nicht nur bei einer mindestens zehnprozentigen Beteiligungsquote, sondern unabhängig vom prozentualen Anteil auch für Beteiligungen zu, deren Verkehrswert mindestens zwei Millionen Franken beträgt. Beide Kriterien sind vom Bundesrecht nicht vorgegeben und stellten auch nicht Thema der entsprechenden verfassungsrechtlichen Diskussion dar, weshalb die Überprüfung ihrer Verfassungsmässigkeit nicht an Art. 190 BV scheitern kann. Das Bundesgesetz erlaubt trotz des entsprechenden Gestaltungsspielraums nicht jede beliebige Art der Beseitigung der wirtschaftlichen Doppelbelastung, sondern bestimmt die grundsätzlichen Voraussetzungen einer solchen Entlastung. Will ein Kanton dasselbe unter anderen Voraussetzungen gewähren, steht die entsprechende Regelung nicht unter dem Schutz von Art. 190 BV . Es ist daher zu prüfen, ob die beiden fraglichen Kriterien vor der Verfassung standhalten.</w:t>
      </w:r>
    </w:p>
    <w:p>
      <w:r>
        <w:rPr>
          <w:b/>
        </w:rPr>
        <w:t>E. 5.2</w:t>
      </w:r>
    </w:p>
    <w:p>
      <w:r>
        <w:t>Im Bereich der Steuern wird das allgemeine Gleichbehandlungsgebot von Art. 8 Abs. 1 BV insbesondere durch die BGE 136 I 49 S. 60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nachMassgabe der ihnen zustehenden Mittel gleichmässig besteuert werden; die Steuerbelastung hat sich nach den ihnen zur Verfügung stehenden Wirtschaftsgütern und ihren persönlichen Verhältnissen zu richten (vgl. BGE 134 I 248 E. 2 S. 251 f.; BGE 133 I 206 E. 6.1 S. 215 f.;Urteil 2P.233/2002 vom 27. Januar 2003 E. 3.2, in: StE 2003 B 21.1 Nr. 11;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Bern in der so genannten wirtschaftlichen Doppelbelastung.</w:t>
      </w:r>
    </w:p>
    <w:p>
      <w:r>
        <w:rPr>
          <w:b/>
        </w:rPr>
        <w:t>E. 5.4</w:t>
      </w:r>
    </w:p>
    <w:p>
      <w:r>
        <w:t>Wieweit es eine solche Doppelbelastung gibt, ist allerdings umstritten (zur Literatur vgl. die Angaben in E. 4.3). Rechtlich werden Dividendeneinkünfte zum Vornherein nicht doppelt belastet. Zwar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BGE 136 I 49 S. 61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Die Privilegierung der Beteiligung an inländischen Gesellschaften lässt sich mit dem Anliegen der Förderung der einheimischen Wirtschaft nicht rechtfertigen, hängt dies doch nur sehr indirekt mit der Frage der wirtschaftlichen Doppelbelastung zusammen. Namentlich spielt es für die unternehmerische Tätigkeit und Verantwortung, mit der das Teilsatzverfahren gerechtfertigt wird, keine Rolle, ob sie im Zusammenhang mit einer schweizerischen oder einer ausländischen Gesellschaft ausgeübt bzw. getragen wird. Analoge kantonale Bestimmungen, mit denen Gesellschaften des eigenen Kantons gegenüber anderen bevorzugt wurden, gelten im Übrigen als harmonisierungswidrig und seit dem Inkrafttreten des Steuerharmonisierungsrechts als obsolet. Die wirtschaftliche Doppelbelastung, deren Beseitigung mit der Unternehmenssteuerreform angestrebt wurde, besteht - soweit es sie überhaupt gibt - gleichermassen wie bei Beteiligungen an Unternehmen mit Sitz in der Schweiz auch bei Beteiligungen an Gesellschaften mit Sitz im Ausland, selbst wenn die Besteuerung der ausländischen Gesellschaft nicht immer leicht festzustellen sein wird BGE 136 I 49 S. 62 und deshalb ein Vergleich im Einzelfall schwierig werden könnte. Schliesslich ist die Besteuerung von Beteiligungserträgen aus Unternehmen mit Sitz im Ausland auch mit Blick auf die Doppelbesteuerungsregeln zu beurteilen, wo in der Regel eine Milderung der internationalen Doppelbelastung bei der Dividendenbesteuerung angestrebt wird, ohne dass damit zwangsläufig die Doppelbelastung von Unternehmung und Dividendenbezüger vermieden werden muss (vgl. ARNOLD/BERGER, § 20, Steuerpflicht bei Auslandbezug, in: Ausländerrecht, Uebersax/Rudin/Hugi Yar/Geiser [Hrsg.], 2. Aufl. 2009, Rz. 20.67 ff.; HÖHN/WALDBURGER, 9. Kapitel, in: Handbuch des Internationalen Steuerrechts der Schweiz, Ernst Höhn [Hrsg.], 2. Aufl. 1993, S. 335 f.; PETER LOCHER, Einführung in das internationale Steuerrecht der Schweiz, 3. Aufl. 2005, S. 380 ff.). Auch dies spricht für eine Gleichbehandlung von Beteiligungserträgen aus ausländischen mit solchen aus schweizerischen Unternehmen. Zwar ist dieser Umstand möglicherweise weniger im Verhältnis zu den OECD-Staaten von Bedeutung (vgl. BBl 2005 4746), er kann aber jedenfalls gegenüber anderen Staaten massgeblich werden. Insgesamt beruht die Beschränkung des Teilsatzverfahrens auf Gesellschaften mit Sitz in der Schweiz in Art. 42 Abs. 3 StG /BE daher nicht auf einer sachlichen Grundlage, weshalb sie sich als rechtsungleich erweist, und sie verletzt den Grundsatz der Belastungsgleichheit. Damit steht sie im Widerspruch zu Art. 8 und 127 Abs. 2 BV .</w:t>
      </w:r>
    </w:p>
    <w:p>
      <w:r>
        <w:rPr>
          <w:b/>
        </w:rPr>
        <w:t>E. 5.6</w:t>
      </w:r>
    </w:p>
    <w:p>
      <w:r>
        <w:t>Analoges gilt für das zu einer zehnprozentigen Beteiligungsquote alternative Kriterium einer summenmässigen Beteiligung im Wert von zwei Millionen Franken. Wer eine Beteiligung von weniger als 10 % hält, die mehr als zwei Millionen Franken wert ist, ist mit dem Schicksal der Gesellschaft nicht mehr verbunden und hat nicht mehr Einfluss auf diese als ein Teilhaber mit der gleichen Beteiligungsquote an einer kleineren Gesellschaft. Die fragliche Bestimmung räumt wohlhabenden Steuerpflichtigen mit wertbeständigen Beteiligungen eine Entlastungsmöglichkeit ein, die weniger wohlhabenden nicht zusteht. Eine Rechtfertigung für diese Ungleichbehandlung, die zudem im Widerspruch zur wirtschaftlichen Leistungsfähigkeit steht, ist nicht ersichtlich. Im Gegenteil gilt eine betragsmässige Limite selbst in demjenigen Schrifttum, das der Quotenbeschränkung zustimmend gegenübersteht, als untaugliches Mittel zur Erreichung der Zielsetzung einer Milderung der Doppelbelastung (vgl. insbes. REICH, a.a.O., S. 65). Ungeeignet erscheint auch der Verweis der Finanzdirektion des Kantons Bern auf die Privilegierung von BGE 136 I 49 S. 63 Holdinggesellschaften im Steuerrecht des Bundes und des Kantons Bern, welche unter anderem zum Teil auf dieselbe betragsmässige Limite von zwei Millionen Franken abstellt (vgl. Art. 69 DBG , Art. 28 Abs. 1 StHG sowie Art. 96 StG /BE). Es handelt sich dabei um Tatbestände, die nicht die Beseitigung der Doppelbelastung, sondern die Förderung von Holdingstrukturen zum Ziel haben. Der Vergleich bietet daher keine sachliche Grundlage für eine Ungleichbehandlung bei der Vermeidung der Doppelbelastung. Das Kriterium einer summenmässigen Beteiligung im Wert von zwei Millionen Franken als Voraussetzung für die Anwendbarkeit der Halbsatzbesteuerung verstösst daher ebenfalls gegen Art. 8 und 127 Abs. 2 BV .</w:t>
      </w:r>
    </w:p>
    <w:p>
      <w:r>
        <w:rPr>
          <w:b/>
        </w:rPr>
        <w:t>E. 5.7</w:t>
      </w:r>
    </w:p>
    <w:p>
      <w:r>
        <w:t>Art. 42 Abs. 3 StG /BE erweist sich in diesem Sinne als teilweise verfassungswidrig. Die darin vorgesehenen Satzteile "mit Sitz in der Schweiz" und "oder der Verkehrswert der Beteiligung mindestens zwei Millionen Franken" sind aufzuheben. Diese teilweise Unzulässigkeitserklärung der fraglichen Gesetzesbestimmung erweist sich als zulässig, weil ohne weiteres davon ausgegangen werden kann, dass der bernische Gesetzgeber jedenfalls die bundesgesetzlich abgedeckte Entlastung beschliessen wollte.</w:t>
      </w:r>
    </w:p>
    <w:p>
      <w:r>
        <w:rPr>
          <w:b/>
        </w:rPr>
        <w:t>E. 6.1</w:t>
      </w:r>
    </w:p>
    <w:p>
      <w:r>
        <w:t>Nicht von der bundesgesetzlichen Regelung geschützt ist sodann die in Art. 65 Abs. 2 StG /BE vorgesehene Entlastung bei der Vermögenssteuer. Danach wird für Beteiligungen an Kapitalgesellschaften oder Genossenschaften mit Sitz in der Schweiz der für das steuerbare Gesamtvermögen massgebliche Steuersatz um 20 Prozent reduziert, sofern die Beteiligungsquote mindestens zehn Prozent oder der Verkehrswert der Beteiligung mindestens zwei Millionen Franken beträgt. Ein solches Privileg kennt weder das Recht der direkten Bundessteuer, das grundsätzlich ohnehin keine Vermögenssteuer vorsieht, noch das Steuerharmonisierungsgesetz des Bundes. Auch wenn der Kanton Bern nicht der einzige Kanton mit einer entsprechenden Regelung ist, so hat die Entlastung bei der Vermögenssteuer im Übrigen bei weitem nicht dieselbe Verbreitung erlangt wie die im Bundesgesetz angelegte Entlastung bei der Einkommenssteuer.</w:t>
      </w:r>
    </w:p>
    <w:p>
      <w:r>
        <w:rPr>
          <w:b/>
        </w:rPr>
        <w:t>E. 6.2</w:t>
      </w:r>
    </w:p>
    <w:p>
      <w:r>
        <w:t>Es versteht sich von selbst, dass jedenfalls die bereits bei der Einkommenssteuer als verfassungswidrig erkannten besonderen, vom Bundesrecht abweichenden Privilegierungen, die sich am Sitz der Unternehmung ("mit Sitz in der Schweiz") oder an der Art der BGE 136 I 49 S. 64 Beteiligung ("oder der Verkehrswert der Beteiligung mindestens zwei Millionen Franken beträgt") ausrichten, analog auch bei der Vermögenssteuer unzulässig sind. Darüber hinaus verstösst aber die ganze Bestimmung als solche gegen die Bundesverfassung. So ist in der Regel wirtschaftlich leistungsfähiger als andere Steuerpflichtige, wer eine Beteiligung von mindestens zehn Prozent an einer Kapitalgesellschaft oder Genossenschaft hält; in jedem Fall zwingend ist dies freilich nicht, weshalb das allein nicht den Ausschlag geben kann. In der Literatur wird denn auch teilweise die Auffassung vertreten, die Entlastung bei der Vermögenssteuer rechtfertige sich gleichermassen wie bei der Einkommenssteuer (vgl. REICH, a.a.O., S. 70). Dies überzeugt indessen unabhängig von der Frage der Verfassungsmässigkeit der Entlastung bei der Einkommenssteuer nicht. Auch bei der Vermögenssteuer ist umstritten, ob es überhaupt eine Doppelbelastung gibt. Die bei der Unternehmung erhobene Kapitalsteuer beruht erneut auf der juristischen Selbständigkeit der Gesellschaft und kann nicht ohne weiteres mit der Besteuerung des Anteileigners als natürlicher Person gleichgesetzt werden. Abgesehen davon soll die Milderung der Doppelbelastung nach ihrer hauptsächlichen Zweckrichtung solche Beteiligungen fördern bzw. privilegieren, bei denen unternehmerisches Risiko und wirtschaftliche Verantwortung übernommen und getragen wird. Dies zahlt sich jedoch normalerweise in erster Linie über die erzielten Erträge bzw. Dividenden und nur zweitrangig über die Beteiligung selbst aus. Der Bundesgesetzgeber beschränkte sich bei der Harmonisierung der kantonalen Steuern denn auch auf die Entlastung bei der Einkommenssteuer. Die Privilegierung der entsprechenden Beteiligungen bei der Vermögenssteuer beruht somit nicht auf genügenden sachlichen Gründen, und sie trägt auch den unterschiedlichen wirtschaftlichen Möglichkeiten der Steuerpflichtigen zu wenig Rechnung.</w:t>
      </w:r>
    </w:p>
    <w:p>
      <w:r>
        <w:rPr>
          <w:b/>
        </w:rPr>
        <w:t>E. 6.3</w:t>
      </w:r>
    </w:p>
    <w:p>
      <w:r>
        <w:t>Art. 65 Abs. 2 StG /BE ist demnach mit Art. 8 und 127 Abs. 2 BV nicht vereinbar und als verfassungswidrig aufzuheben.</w:t>
      </w:r>
    </w:p>
    <w:p>
      <w:r>
        <w:rPr>
          <w:b/>
        </w:rPr>
        <w:t>E. 7.1</w:t>
      </w:r>
    </w:p>
    <w:p>
      <w:r>
        <w:t>Die Beschwerde ist teilweise gutzuheissen. In Art. 42 Abs. 3 StG /BE sind die Satzteile "mit Sitz in der Schweiz" und "oder der Verkehrswert der Beteiligung mindestens zwei Millionen Franken" und Art. 65 Abs. 2 StG /BE ist vollständig aufzuheben. Im Übrigen ist die Beschwerde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