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345</w:t>
      </w:r>
    </w:p>
    <w:p>
      <w:r>
        <w:t>Bundesgericht (BGE), 2010-09-10, DE</w:t>
      </w:r>
    </w:p>
    <w:p>
      <w:r>
        <w:rPr>
          <w:b/>
        </w:rPr>
        <w:t xml:space="preserve">Quelle: </w:t>
      </w:r>
      <w:r>
        <w:t>https://mcp.opencaselaw.ch/entscheid/bge_BGE_136_I_345</w:t>
      </w:r>
    </w:p>
    <w:p>
      <w:r>
        <w:t>FR: ATF 136 I 345</w:t>
      </w:r>
    </w:p>
    <w:p>
      <w:r>
        <w:t>IT: DTF 136 I 345</w:t>
      </w:r>
    </w:p>
    <w:p>
      <w:pPr>
        <w:pStyle w:val="Heading2"/>
      </w:pPr>
      <w:r>
        <w:t>Regeste</w:t>
      </w:r>
    </w:p>
    <w:p>
      <w:r>
        <w:t>Regeste Art. 8 Abs. 1 BV; Art. 15a Abs. 4 und Art. 16a Abs. 2 SVG; Art. 35a VZV; Annullation eines Führerausweises auf Probe. Rechtsnatur und gesetzlicher Zweck des Führerausweises auf Probe. Unter die nach Art. 15a Abs. 4 SVG relevanten Fälle von erneuten Widerhandlungen fallen auch leichte Fälle gemäss Art. 16a Abs. 2 SVG. Das Rechtsgleichheitsgebot wird dadurch nicht verletzt (E. 5 und 6).</w:t>
      </w:r>
    </w:p>
    <w:p>
      <w:r>
        <w:t>Regeste Art. 8 al. 1 Cst.; art. 15a al. 4 et art. 16a al. 2 LCR; art. 35a OAC; annulation d'un permis de conduire à l'essai. Nature juridique et but légal du permis de conduire à l'essai. Les infractions légères au sens de l'art. 16a al. 2 LCR font également partie des nouvelles infractions visées à l'art. 15a al. 4 LCR. Le principe de l'égalité de traitement n'est ainsi pas violé (consid. 5 et 6).</w:t>
      </w:r>
    </w:p>
    <w:p>
      <w:r>
        <w:t>Regesto Art. 8 cpv. 1 Cost.; art. 15a cpv. 4 e art. 16a cpv. 2 LCStr; art. 35a OAC; annullamento di una licenza di condurre in prova. Natura giuridica e scopo legale della licenza di condurre in prova. Anche le infrazioni lievi ai sensi dell'art. 16a cpv. 2 LCStr rientrano nelle nuove infrazioni rilevanti sotto il profilo dell'art. 15a cpv. 4 LCStr. Il principio dell'uguaglianza giuridica con ciò non è violato (consid. 5 e 6).</w:t>
      </w:r>
    </w:p>
    <w:p>
      <w:pPr>
        <w:pStyle w:val="Heading2"/>
      </w:pPr>
      <w:r>
        <w:t>Erwägungen</w:t>
      </w:r>
    </w:p>
    <w:p>
      <w:r>
        <w:rPr>
          <w:b/>
        </w:rPr>
        <w:t>E. 2</w:t>
      </w:r>
    </w:p>
    <w:p>
      <w:r>
        <w:t>Nach den tatsächlichen Feststellungen der Vorinstanz lenkte der Beschwerdeführer am 14. Oktober 2008 den Personenwagen seiner Mutter von Balmberg Richtung Günsberg. Er befuhr mit ca. 60 km/h eine sich leicht verengende Rechtskurve, als ihm ein unbekannter Automobilist (in korrekter Fahrweise) entgegenkam. Nachdem der Beschwerdeführer in der Kurve abgebremst und den entgegenkommenden Personenwagen gekreuzt hatte, lenkte er nach links. Dabei verlor er die Kontrolle über sein Fahrzeug, worauf die Räder blockierten und er mit einem Brückengeländer kollidierte. Beim Selbstunfall entstand Sachschaden am Unfallfahrzeug in der Höhe von Fr. 6'500.-. Das Verwaltungsgericht erwägt, diese zweite Widerhandlung innert der Probezeit hätte (auch bei Annahme eines leichten Falles gestützt auf Art. 16a Abs. 2 SVG ) zu einem weiteren Führerausweisentzug (von mindestens einem Monat) führen müssen, weshalb (gemäss Art. 15a Abs. 4 SVG ) der Führerausweis auf Probe zu annullieren sei.</w:t>
      </w:r>
    </w:p>
    <w:p>
      <w:r>
        <w:rPr>
          <w:b/>
        </w:rPr>
        <w:t>E. 3</w:t>
      </w:r>
    </w:p>
    <w:p>
      <w:r>
        <w:t>Der Beschwerdeführer rügt eine bundesrechtswidrige Anwendung des SVG sowie eine Verletzung von Art. 8 BV . Das Gesetz verlange BGE 136 I 345 S. 347 mindestens drei leichte Widerhandlungen, damit der Führerausweis auf Probe annulliert werden kann. Nur bei zwei aufeinanderfolgenden mittelschweren (oder schweren) Fällen komme eine Annullation schon nach zwei Widerhandlungen in Frage. Die von der Vorinstanz getroffene Wortlautauslegung führe zu einer rechtsungleichen Behandlung. Zwar habe er im Dezember 2007 eine mittelschwere und im Oktober 2008 eine leichte Widerhandlung gegen das SVG verübt. Wäre zuerst die leichte und dann die mittelschwere Widerhandlung erfolgt, hätte sein Führerausweis auf Probe jedoch nicht als verfallen erklärt werden dürfen. Unzulässigerweise werde er gleich sanktioniert wie ein Lenker, der in der Probezeit zwei mittelschwere oder schwere Widerhandlungen begangen hätte.</w:t>
      </w:r>
    </w:p>
    <w:p>
      <w:r>
        <w:rPr>
          <w:b/>
        </w:rPr>
        <w:t>E. 4</w:t>
      </w:r>
    </w:p>
    <w:p>
      <w:r>
        <w:t>Der erstmals erworbene Führerausweis für Motorräder und Motorwagen wird zunächst auf Probe erteilt. Die Probezeit beträgt drei Jahre ( Art. 15a Abs. 1 SVG ). Der Führerausweis wird unbefristet erteilt, wenn die Probezeit abgelaufen ist und der Inhaber an den (vom Bundesrat vorgeschriebenen) Weiterbildungskursen zur Erkennung und Vermeidung von Gefahren sowie zu umweltschonendem Fahren teilgenommen hat ( Art. 15a Abs. 2 SVG ). Wird dem Inhaber der Ausweis auf Probe wegen einer Widerhandlung entzogen, wird die Probezeit um ein Jahr verlängert ( Art. 15a Abs. 3 SVG ). Der Führerausweis auf Probe verfällt mit der zweiten Widerhandlung, die zum Entzug des Ausweises führt ( Art. 15a Abs. 4 SVG ). Nach einer leichten Widerhandlung wird der Ausweis (für mindestens einen Monat) entzogen, wenn in den vorangegangenen zwei Jahren der Ausweis bereits entzogen war oder eine andere Administrativmassnahme verfügt wurde ( Art. 16a Abs. 2 SVG ). Eine Annullierung des Führerausweises auf Probe (gemäss Art. 15a Abs. 4 SVG ) betrifft alle Ausweiskategorien und Unterkategorien ( Art. 35a Abs. 1 und 2 VZV [SR 741.51]). Ein neuer Führerausweis auf Probe kann frühestens ein Jahr nach Begehung der Widerhandlung und nur aufgrund eines verkehrspsychologischen Gutachtens erteilt werden, das die Eignung bejaht ( Art. 15a Abs. 5 SVG ). Nach erneutem Bestehen der Führerprüfung wird ein neuer Führerausweis auf Probe erteilt ( Art. 15a Abs. 6 SVG ).</w:t>
      </w:r>
    </w:p>
    <w:p>
      <w:r>
        <w:rPr>
          <w:b/>
        </w:rPr>
        <w:t>E. 5</w:t>
      </w:r>
    </w:p>
    <w:p>
      <w:r>
        <w:t>Nach der Praxis des Bundesgerichts müssen Ungleichbehandlungen im Rahmen der Rechtsanwendung in öffentlich-rechtlichen Angelegenheiten sich vernünftig begründen lassen bzw. sachlich haltbar sein. Der allgemeine Rechtsgleichheitsgrundsatz ( Art. 8 Abs. 1 BV ) verpflichtet die Behörden, gleiche Sachverhalte mit identischen BGE 136 I 345 S. 348 relevanten Tatsachen gleich zu beurteilen, es sei denn, ein sachlicher Grund rechtfertige eine unterschiedliche Behandlung ( BGE 136 I 121 E. 5.2 S. 127; BGE 131 I 105 E. 3.1 S. 107; je mit Hinweisen).</w:t>
      </w:r>
    </w:p>
    <w:p>
      <w:r>
        <w:rPr>
          <w:b/>
        </w:rPr>
        <w:t>E. 6.1</w:t>
      </w:r>
    </w:p>
    <w:p>
      <w:r>
        <w:t>Mit der auf den 1. Dezember 2005 in Kraft gesetzten Revision des SVG wurde (nach breiter Zustimmung im Vernehmlassungsverfahren) der Führerausweis auf Probe eingeführt. Gemäss diesem neuen administrativmassnahmenrechtlichen Instrument sollen sich Neulenker (sog. "Neuerwerber") während einer dreijährigen Probezeit in der Fahrpraxis bewähren, bevor ihnen der (unbefristete) Führerausweis definitiv erteilt wird. Während der Probezeit soll sich der Neulenker durch einwandfreies und klagloses Fahrverhalten im Verkehr ausweisen. Verstösse gegen Verkehrsregeln lösen deshalb nicht nur die gegen Inhaber des unbefristeten Führerausweises vorgesehenen Strafsanktionen und Administrativmassnahmen aus. Gleichzeitig erschweren sie während der Probezeit die Erlangung des unbefristeten Ausweises (vgl. Urteil des Bundesgerichts 1C_559/2008 vom 15. Mai 2009 E. 3.1; DEMIERRE/MIZEL/MOURON, Les mesures administratives liées au nouveau permis de conduire à l'essai, AJP 2007 S. 729 ff.; HANS GIGER, SVG - Strassenverkehrsgesetz, Kommentar, 7. Aufl. 2008, N. 34 zu Art. 15a SVG ). Ausweisentzüge (wegen Widerhandlungen nach Art. 16a-16c SVG ) haben eine Verlängerung der Probezeit um ein Jahr zur Folge. Laut Botschaft des Bundesrates vom 31. März 1999 zur Änderung des Strassenverkehrsgesetzes (BBl 1999 4462) gilt die Bewährungszeit als nicht bestanden (und verfällt der Führerausweis auf Probe), wenn während der Probezeit eine zweite Widerhandlung begangen wird, die zum Ausweisentzug führt (BBl 1999 4485 Ziff. 21; vgl. DEMIERRE/MIZEL/MOURON, a.a.O., S. 731 f.; GIGER, a.a.O., N. 35 und 36 zu Art. 15a SVG ). Diese Regelung fand auch in den Eidgenössischen Räten ungeteilte Zustimmung (AB 2000 S 210 ; 2001 N 878 ). Unter die nach Art. 15a Abs. 4 SVG relevanten Fälle von erneuten Widerhandlungen fallen demnach auch leichte Fälle, für die (nach Art. 16a Abs. 2 SVG ) ein weiterer Ausweisentzug anzuordnen wäre (vgl. DEMIERRE/MIZEL/MOURON, a.a.O., S. 733 und 737). Besteht der Neulenker die Probezeit nicht, kann er frühestens ein Jahr nach der zweiten Widerhandlung mit Ausweisentzug (und nach erfolgter verkehrspsychologischer Abklärung der Fahreignung) einen neuen Lernfahrausweis (und nach Bestehen der Führerprüfung einen neuen Führerausweis auf Probe) beantragen. Das neu eingeführte BGE 136 I 345 S. 349 administrativmassnahmenrechtliche Instrument dient (ergänzend zur Verschärfung der Warnungsentzüge) der strengeren Ahndung und Prävention von SVG-Widerhandlungen durch Neulenker und damit der Erhöhung der Verkehrssicherheit (vgl. BGE 136 II 447 E. 5.1; Urteil 1C_559/2008 vom 15. Mai 2009 E. 3.1 und 3.2; BBl 1999 4485; DEMIERRE/MIZEL/MOURON, a.a.O., S. 730-738; GIGER, a.a.O., N. 34-36 zu Art. 15a SVG ).</w:t>
      </w:r>
    </w:p>
    <w:p>
      <w:r>
        <w:rPr>
          <w:b/>
        </w:rPr>
        <w:t>E. 6.2</w:t>
      </w:r>
    </w:p>
    <w:p>
      <w:r>
        <w:t>Soweit der Beschwerdeführer den Standpunkt vertritt, der Verfall eines Führerausweises auf Probe setze mindestens drei (bzw. zwei schwere oder mittelschwere) Widerhandlungen gegen das SVG voraus, findet diese Ansicht im Gesetz, in den Materialien und in der einschlägigen Literatur keine Stütze. Zwar könnte bei mehreren aufeinanderfolgenden leichten Widerhandlungen die Konstellation eintreten, dass erst nach dem dritten leichten Fall ein zweiter Ausweisentzug und damit eine Annullierung des Führerausweises auf Probe zu erfolgen hätte (vgl. Art. 15a Abs. 4 i.V.m. Art. 16a Abs. 3 bzw. Abs. 2 SVG). Hier liegt jedoch unbestrittenermassen keine solche Konstellation vor: Mit rechtskräftiger Verfügung vom 25. Februar 2008 wurde dem Beschwerdeführer wegen einer mittelschweren Widerhandlung der Führerausweis auf Probe bereits für die Dauer von zwei Monaten entzogen ( Art. 16b Abs. 2 lit. a SVG ) und die Probezeit um ein Jahr verlängert ( Art. 15a Abs. 3 SVG ). Innerhalb der Probezeit (und innert zwei Jahren seit dem letzten Ausweisentzug) erfolgte der zweite Unfall vom 14. Oktober 2008. Selbst wenn dieser als leichter Fall eingestuft wird, sieht das Gesetz hier einen zweiten Ausweisentzug zwingend vor ( Art. 16a Abs. 2 SVG ) und damit den Verfall des Führerausweises auf Probe ( Art. 15a Abs. 4 SVG ).</w:t>
      </w:r>
    </w:p>
    <w:p>
      <w:r>
        <w:rPr>
          <w:b/>
        </w:rPr>
        <w:t>E. 6.3</w:t>
      </w:r>
    </w:p>
    <w:p>
      <w:r>
        <w:t>Der Beschwerdeführer macht geltend, der Wortlaut des Gesetzes führe zu einer rechtsungleichen Behandlung. Für den ersten Selbstunfall (im Dezember 2007) sei zwar wegen eines mittelschweren Falles ein zweimonatiger Ausweisentzug erfolgt. Der zweite Selbstunfall (im Oktober 2008) sei jedoch als leichte Widerhandlung einzustufen. Wäre - in umgekehrter Reihenfolge - zuerst die leichte und dann erst die mittelschwere Widerhandlung erfolgt, hätte sein Führerausweis auf Probe (gemäss Art. 15a Abs. 4 i.V.m. Art. 16a Abs. 3 SVG ) nicht als verfallen erklärt werden können. Die Administrativmassnahme dürfe aber nicht vom Zufall abhängig gemacht werden, in welcher Reihenfolge die Widerhandlungen erfolgten. Unzulässigerweise werde er behandelt wie ein Lenker, der in der Probezeit zwei mittelschwere oder schwere Widerhandlungen beging. BGE 136 I 345 S. 350 Demgegenüber würden Lenker, die zunächst bloss verwarnt werden und anschliessend eine mittelschwere Widerhandlung begehen, privilegiert behandelt. Dies sei sachlich nicht nachvollziehbar, weshalb Art. 16a Abs. 2 SVG auf den Verfall des Führerausweises auf Probe nicht anwendbar sei. Insofern sei der Wortlaut von Art. 15a Abs. 4 SVG auslegungsweise zu "präzisieren".</w:t>
      </w:r>
    </w:p>
    <w:p>
      <w:r>
        <w:rPr>
          <w:b/>
        </w:rPr>
        <w:t>E. 6.4</w:t>
      </w:r>
    </w:p>
    <w:p>
      <w:r>
        <w:t>Der Beschwerdeführer stellt sich zunächst auf den Standpunkt, bei seinem zweiten Selbstunfall (von Oktober 2008) innerhalb der Probezeit handle es sich um eine leichte (nicht um eine zweite mittelschwere) Widerhandlung gegen das SVG. Die kantonalen Instanzen brauchten diese Frage (angesichts des klaren Wortlautes des Gesetzes) nicht vertieft zu prüfen. Der Ansicht des Beschwerdeführers, es handle sich um eine leichte Widerhandlung im Sinne von Art. 16a SVG , wäre im Übrigen Folgendes entgegenzuhalten: Durch sein fehlerhaftes Fahrverhalten schuf er (neben einer abstrakten Gefahr für dritte Verkehrsteilnehmer) eine konkrete Gefahr für sich selbst, welche sich in einem Selbstunfall mit Sachschaden realisierte. Nach den Feststellungen der Vorinstanz ereignete sich der zweite Unfall in (bzw. kurz nach) einer Rechtskurve auf einem sich leicht verengenden Strassenabschnitt. Das Fahrzeug des Beschwerdeführers kollidierte mit einem Brückengeländer. Bei dieser Sachlage bestand die naheliegende Gefahr, dass nachfolgende Fahrzeuge von der Unfallsituation hätten überrascht werden können. Der Beschwerdeführer beschädigte (ausser dem Brückengeländer) das von ihm benutzte Fahrzeug massiv und verursachte einen Sachschaden in der Höhe von Fr. 6'500.-. Nach der Praxis des Bundesgerichts dürften die Administrativbehörden in derartigen Fällen (ohne Verletzung von Art. 16b Abs. 1 lit. a SVG ) grundsätzlich von einer erhöhten abstrakten Gefährdung und damit von einem mittelschweren Fall ausgehen (vgl. Urteil 1C_83/2010 vom 12. Juli 2010 E. 5). Dass der Strafrichter Art. 90 Ziff. 1 SVG anwendete, schlösse die Annahme eines mittelschweren Falles im Administrativverfahren jedenfalls nicht aus (vgl. Urteile 1C_83/2010 E. 4; 1C_424/2008 vom 31. März 2009 E. 4.1; 1C_7/2008 vom 24. Juli 2008 E. 6.2; s. schon BGE 120 Ib 312 E. 4b S. 315 zu aArt. 16 Abs. 3 lit. a SVG).</w:t>
      </w:r>
    </w:p>
    <w:p>
      <w:r>
        <w:rPr>
          <w:b/>
        </w:rPr>
        <w:t>E. 6.5</w:t>
      </w:r>
    </w:p>
    <w:p>
      <w:r>
        <w:t>Aber selbst wenn der zweite Selbstunfall noch als leichte Widerhandlung einzustufen wäre, würde der Wortlaut von Art. 15a Abs. 4 SVG zu keinen stossenden oder rechtsungleichen BGE 136 I 345 S. 351 Konsequenzen führen: Das Gesetz sieht vor, dass bei einer zweiten Widerhandlung innert zwei Jahren seit dem ersten Ausweisentzug ein neuer Ausweisentzug bzw. der Verfall des Führerausweises auf Probe zu erfolgen hat (Art. 15a Abs. 4 i.V.m. Art. 16a Abs. 2 SVG ). Dass diese Konsequenz ausbliebe, wenn eine erste leichte Widerhandlung (mangels früherer Administrativmassnahmen) noch keinen Ausweisentzug nach sich gezogen hätte ( Art. 16a Abs. 3 SVG ), ist sachlich gerechtfertigt und stellt weder ein Versehen des Gesetzgebers dar noch eine unechte Gesetzeslücke. Der Gesetzgeber trägt damit dem Umstand Rechnung, dass von einem Inhaber des Führerausweises auf Probe, dem nach einer Widerhandlung gegen das SVG bereits der Ausweis entzogen und die Probezeit verlängert werden musste, ein besonderes Mass an Verantwortungsbewusstsein bzw. sorgfältigem künftigem Fahrverhalten erwartet werden darf und muss (vgl. dazu oben, E. 6.1). Demgegenüber zöge eine erste leichte Widerhandlung während der Probezeit eine blosse Verwarnung nach sich ( Art. 16a Abs. 3 SVG ), und die Probezeit würde nicht verlängert ( Art. 15a Abs. 3 SVG ). Der Beschwerdeführer hat sich als Neulenker in der Probezeit nicht bewährt. Nachdem ihm der Führerausweis wegen einer mittelschweren Widerhandlung für zwei Monate entzogen und die Probezeit um ein Jahr verlängert werden musste, hat er einige Monate später einen weiteren Selbstunfall verursacht, der einen erneuten Ausweisentzug nach sich zieht. Dies führt nach der unmissverständlichen (und durch die Vorinstanz verfassungskonform angewendeten) gesetzlichen Regelung zur Annullierung des Führerausweises auf Probe. Die allfällige Erteilung eines neuen Lernfahrausweises (bzw. Führerausweises auf Probe) richtet sich nach Art. 15a Abs. 5 und 6 SVG .</w:t>
      </w:r>
    </w:p>
    <w:p>
      <w:r>
        <w:rPr>
          <w:b/>
        </w:rPr>
        <w:t>E. 6.6</w:t>
      </w:r>
    </w:p>
    <w:p>
      <w:r>
        <w:t>Nach dem Gesagten hat die Vorinstanz das SVG bundesrechtskonform angewendet.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