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323</w:t>
      </w:r>
    </w:p>
    <w:p>
      <w:r>
        <w:t>Bundesgericht (BGE), 2009-01-01, FR</w:t>
      </w:r>
    </w:p>
    <w:p>
      <w:r>
        <w:rPr>
          <w:b/>
        </w:rPr>
        <w:t xml:space="preserve">Quelle: </w:t>
      </w:r>
      <w:r>
        <w:t>https://mcp.opencaselaw.ch/entscheid/bge_BGE_136_I_323</w:t>
      </w:r>
    </w:p>
    <w:p>
      <w:r>
        <w:t>FR: ATF 136 I 323</w:t>
      </w:r>
    </w:p>
    <w:p>
      <w:r>
        <w:t>IT: DTF 136 I 323</w:t>
      </w:r>
    </w:p>
    <w:p>
      <w:pPr>
        <w:pStyle w:val="Heading2"/>
      </w:pPr>
      <w:r>
        <w:t>Regeste</w:t>
      </w:r>
    </w:p>
    <w:p>
      <w:r>
        <w:t>Regeste Art. 29a BV; Art. 56A des Genfer Gesetzes vom 22. November 1941 über die Justizorganisation (in der seit 1. Januar 2009 geltenden Fassung); Art. 4 des Genfer Gesetzes vom 12. September 1985 über das Verwaltungsverfahren; Art. 30 Abs. 3 des Genfer Polizeigesetzes vom 26. Oktober 1957. Versetzung eines Polizeifunktionärs auf Grund von Art. 30 Abs. 3 des Genfer Polizeigesetzes, welche Bestimmung den Funktionär verpflichtet, einen Einsatzwechsel in gewissen Grenzen zu akzeptieren. Nichteintretensentscheid des kantonalen Verwaltungsgerichts, welches befand, eine solche Versetzung stelle eine interne Massnahme ohne disziplinarischen Charakter dar. Abgrenzung zwischen anfechtbarem Entscheid und internem Verwaltungsakt. Vorliegend handelt es sich um einen über die Organisation der Polizeidienste hinausgehenden Akt, der geeignet ist, die Rechtslage des Funktionärs als Träger von Rechten und Pflichten gegenüber dem Staat zu beeinflussen. Eine Anfechtung ist gestützt auf die Rechtsweggarantie nach Art. 29a BV möglich (E. 4).</w:t>
      </w:r>
    </w:p>
    <w:p>
      <w:r>
        <w:t>Regeste Art. 29a Cst.; art. 56A de la loi genevoise du 22 novembre 1941 sur l'organisation judiciaire (LOJ; teneur depuis le 1er janvier 2009); art. 4 de la loi genevoise du 12 septembre 1985 sur la procédure administrative (LPA/GE); art. 30 al. 3 de la loi genevoise du 26 octobre 1957 sur la police (LPol). Mutation d'un fonctionnaire de police décidée sur la base de l'art. 30 al. 3 LPol qui impose au fonctionnaire l'obligation d'accepter un changement d'affectation tout en en fixant les limites. Décision d'irrecevabilité rendue par le Tribunal administratif qui a considéré que cette mutation était une mesure interne dépourvue de caractère disciplinaire. Délimitation entre une décision attaquable et un acte interne. En l'espèce, il s'agit d'un acte qui va au-delà de l'organisation des services de police et qui est susceptible d'affecter la situation juridique du fonctionnaire en tant que titulaire de droits et d'obligations à l'égard de l'Etat. La contestation qui en résulte bénéficie de la garantie de l'accès au juge de l'art. 29a Cst. (consid. 4).</w:t>
      </w:r>
    </w:p>
    <w:p>
      <w:r>
        <w:t>Regesto Art. 29a Cost.; art. 56A della legge ginevrina del 22 novembre 1941 sull'organizzazione giudiziaria (nel suo tenore in vigore dal 1° gennaio 2009); art. 4 della legge ginevrina del 12 settembre 1985 sulla procedura amministrativa; art. 30 cpv. 3 della legge ginevrina del 26 ottobre 1957 sulla polizia. Trasferimento di un funzionario di polizia deciso sulla base dell'art. 30 cpv. 3 della legge ginevrina sulla polizia che impone al funzionario l'obbligo di accettare, entro determinati limiti, un cambiamento di destinazione. Decisione di irricevibilità del Tribunale amministrativo che ha considerato questo trasferimento come un provvedimento interno sprovvisto di carattere disciplinare. Distinzione tra decisione impugnabile e atto interno. Nel caso di specie, si tratta di un atto che trascende l'organizzazione dei servizi di polizia e che è suscettibile di incidere sulla situazione giuridica del funzionario nella sua qualità di titolare di diritti e obblighi nei confronti dello Stato. La contestazione che ne risulta beneficia della garanzia della via giudiziaria dell'art. 29a Cost. (consid. 4).</w:t>
      </w:r>
    </w:p>
    <w:p>
      <w:pPr>
        <w:pStyle w:val="Heading2"/>
      </w:pPr>
      <w:r>
        <w:t>Erwägungen</w:t>
      </w:r>
    </w:p>
    <w:p>
      <w:r>
        <w:rPr>
          <w:b/>
        </w:rPr>
        <w:t>E. 1.1</w:t>
      </w:r>
    </w:p>
    <w:p>
      <w:r>
        <w:t>Selon l' art. 113 LTF , le recours constitutionnel subsidiaire au Tribunal fédéral n'est ouvert que si un recours ordinaire est exclu. En vertu de l' art. 82 let. a LTF , le recours en matière de droit public est recevable contre les décisions rendues en matière de droit public. Toutefois, selon la liste des exceptions figurant à l' art. 83 LTF , le recours n'est pas possible en matière de rapports de travail de droit public qui concernent une contestation non pécuniaire, sauf si elle touche à l'égalité des sexes (let. g), ce qui n'est pas le cas en l'espèce. La mesure contestée, qui porte sur l'affectation du recourant au commissariat de police, n'a pas d'incidence sur le traitement de celui-ci. Le recourant, du reste, indique explicitement que la contestation n'est pas de nature pécuniaire. L'exception prévue à l' art. 83 let . g LTF s'applique donc. Par conséquent, seule la voie du recours constitutionnel subsidiaire est susceptible d'entrer en considération ( art. 113 LTF ). BGE 136 I 323 S. 326</w:t>
      </w:r>
    </w:p>
    <w:p>
      <w:r>
        <w:rPr>
          <w:b/>
        </w:rPr>
        <w:t>E. 1.2</w:t>
      </w:r>
    </w:p>
    <w:p>
      <w:r>
        <w:t>L' art. 115 let. b LTF fait dépendre la qualité pour interjeter un recours constitutionnel subsidiaire d'un intérêt juridique à l'annulation ou à la modification de la décision attaquée. D'après la jurisprudence ( ATF 133 I 185 consid. 3 p. 190 et consid. 6.3 p. 200; ATF 133 II 249 consid. 1.3.2 p. 253), la notion d'intérêt juridique de l' art. 115 LTF correspond à celle d'intérêt juridiquement protégé au sens de l'ancien art. 88 OJ (RS 3 545) qui était exigé pour former un recours de droit public. Les intérêts que le recourant invoque doivent être protégés soit par une règle du droit fédéral ou du droit cantonal, soit directement par un droit fondamental spécifique ( ATF 133 I 185 consid. 4 p. 191). En outre, indépendamment du point de savoir si le recourant est légitimé sous l'angle de l' art. 115 let. b LTF à remettre en cause une décision sur le fond, le recourant peut faire valoir la violation de ses droits de partie équivalant à un déni de justice formel. Mais il ne doit alors pas invoquer par ce biais, même indirectement, des moyens qui ne peuvent être séparés du fond ( ATF 133 I 185 consid. 6.2 p. 198 s.). Seuls les griefs de nature formelle qui sont séparés de l'examen de la cause au fond peuvent donc être présentés. En revanche, les griefs qui reviennent de facto à critiquer l'arrêt attaqué sur le plan matériel sont exclus ( ATF 135 I 265 consid.1.3 p. 269; ATF 133 II 249 consid. 1.3.2 p. 253; ATF 133 I 185 consid. 6.2 p. 199; arrêt 2D_78/2009 du 29 avril 2010 consid. 2.2).</w:t>
      </w:r>
    </w:p>
    <w:p>
      <w:r>
        <w:rPr>
          <w:b/>
        </w:rPr>
        <w:t>E. 1.3</w:t>
      </w:r>
    </w:p>
    <w:p>
      <w:r>
        <w:t>En l'espèce, le recourant soutient que le changement d'affectation dont il a fait l'objet est une décision susceptible de recours devant le Tribunal administratif. Il reproche aux premiers juges de ne pas être entrés en matière sur son recours et se plaint en particulier d'une violation de la garantie de l'accès au juge ( art. 29a Cst. ). Dans cette mesure, il invoque la violation d'un droit de partie équivalent à un déni de justice formel indépendant du fond ( ATF 135 I 6 consid. 2.1 p. 9). La voie du recours constitutionnel subsidiaire est donc ouverte à ce titre déjà et sans qu'il soit nécessaire d'examiner encore dans le présent contexte la question de l'intérêt juridiquement protégé.</w:t>
      </w:r>
    </w:p>
    <w:p>
      <w:r>
        <w:rPr>
          <w:b/>
        </w:rPr>
        <w:t>E. 2.1</w:t>
      </w:r>
    </w:p>
    <w:p>
      <w:r>
        <w:t>Depuis le 1 er janvier 2009, le Tribunal administratif est l'autorité supérieure de recours ordinaire en matière administrative dans le canton de Genève (art. 56A de la loi cantonale genevoise du 22 novembre 1941 sur l'organisation judiciaire [LOJ; RSG E 2 05]). Les exceptions qui existaient précédemment dans le domaine de la fonction publique ont été abrogées, en particulier l'ancien art. 56B al. 4 let. b LOJ. Selon cette ancienne disposition, le recours au Tribunal BGE 136 I 323 S. 327 administratif n'était ouvert que dans la mesure où une disposition légale, réglementaire ou statutaire spéciale le prévoyait contre les décisions concernant le statut et les rapports de service des fonctionnaires et autres membres du personnel de l'Etat, des communes, et des autres corporations et établissements de droit public. En ce qui concerne plus particulièrement les changements d'affectation dans les rapports de service entre l'Etat et ses fonctionnaires, le Tribunal administratif ne pouvait pas être saisi d'un recours, sauf si le changement d'affectation représentait une sanction disciplinaire déguisée (...). Dans cette hypothèse seulement, le recours était recevable.</w:t>
      </w:r>
    </w:p>
    <w:p>
      <w:r>
        <w:rPr>
          <w:b/>
        </w:rPr>
        <w:t>E. 2.2</w:t>
      </w:r>
    </w:p>
    <w:p>
      <w:r>
        <w:t>Le Tribunal administratif a examiné la recevabilité du recours porté devant lui en application de l'art. 56A al. 2 LOJ en vigueur depuis le 1 er janvier 2009, attendu que le changement d'affectation du recourant avait été décidé après cette date. En vertu de cette disposition, le recours au Tribunal administratif est ouvert contre les décisions des autorités et juridictions administratives au sens des art. 4, 5, 6 al. 1 let . d et 57 de la loi cantonale genevoise du 12 septembre 1985 sur la procédure administrative (LPA/GE; RSG E 5 10), sauf exception prévue par la loi. Le Tribunal administratif a toutefois considéré que la jurisprudence relative à l'ancien art. 56B al. 4 LOJ, en tant qu'elle permettait de distinguer un changement d'affectation constituant une mesure interne d'un changement d'affectation représentant une sanction déguisée, était toujours pertinente: une sanction déguisée correspondait à une décision au sens de l'art. 4 de la LPA/GE et ouvrait par conséquent l'accès au juge. En l'espèce, selon la juridiction cantonale, l'acte attaqué ne constitue pas une décision. Le changement d'affectation du recourant apparaît fondé sur la gestion des services et doit être qualifié de mesure de gestion interne prise dans le but d'améliorer le fonctionnement de l'institution. Cette conclusion s'impose quand bien même le recourant a ressenti sa mutation comme une sanction et contestait l'appréciation faite par sa hiérarchie et les moyens choisis pour remédier aux dysfonctionnements de la brigade. La juridiction cantonale a conclu que la mesure de mutation prise à l'encontre du recourant n'était pas une sanction déguisée et qu'un recours contre celle-ci était donc irrecevable.</w:t>
      </w:r>
    </w:p>
    <w:p>
      <w:r>
        <w:rPr>
          <w:b/>
        </w:rPr>
        <w:t>E. 3</w:t>
      </w:r>
    </w:p>
    <w:p>
      <w:r>
        <w:t>Le recourant, qui ne prétend pas que son changement d'affectation constituait une sanction déguisée, se plaint d'une application arbitraire des art. 4 al. 1 LPA /GE et 56A LOJ. Il fait valoir que la mesure prise à son encontre constituait une décision susceptible de recours. Invoquant l' art. 29a Cst. , il soutient qu'en déclarant son recours BGE 136 I 323 S. 328 irrecevable, les premiers juges l'ont privé de son droit de faire examiner par un tribunal le bien-fondé de la mesure prise le 8 janvier 2009.</w:t>
      </w:r>
    </w:p>
    <w:p>
      <w:r>
        <w:rPr>
          <w:b/>
        </w:rPr>
        <w:t>E. 4.1</w:t>
      </w:r>
    </w:p>
    <w:p>
      <w:r>
        <w:t>S'agissant de changements d'affectation d'agents de la fonction publique du canton de Genève, le Tribunal fédéral a été saisi de plusieurs recours portant sur le point de savoir si le changement représentait ou non une sanction disciplinaire déguisée (arrêts 8D_4/2009 du 3 mars 2010; 2P.93/2004 du 15 octobre 2004 et 1P.163/1999 du 13 juillet 1999). Dans ces affaires, la partie recourante admettait, implicitement au moins, qu'un changement d'affectation ne pouvait faire l'objet d'un recours au Tribunal administratif qu'à la condition de représenter une sanction déguisée, conformément aux conditions de recevabilité de l'ancien art. 56B al. 4 let. b LOJ. En l'espèce, la question litigieuse est différente, puisqu'il s'agit de décider si la mutation du recourant est une mesure qui se prête à un contrôle judiciaire indépendamment de tout caractère disciplinaire.</w:t>
      </w:r>
    </w:p>
    <w:p>
      <w:r>
        <w:rPr>
          <w:b/>
        </w:rPr>
        <w:t>E. 4.2</w:t>
      </w:r>
    </w:p>
    <w:p>
      <w:r>
        <w:t>L' art. 29a Cst. , en vigueur depuis le 1 er janvier 2007, donne à toute personne le droit à ce que sa cause soit jugée par une autorité judiciaire.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 ATF 133 IV 278 consid. 2.2 p. 284; ATF 130 I 312 consid. 4.2 p. 326 s. et les références). Elle est concrétisée par l' art. 86 al. 2 LTF selon lequel les cantons doivent instituer des tribunaux supérieurs qui statuent comme autorité précédant immédiatement le Tribunal fédéral, sauf dans les cas où une autre loi fédérale prévoit qu'une décision d'une autre autorité judiciaire peut faire l'objet d'un recours devant le Tribunal fédéral. Pour les décisions revêtant un caractère politique prépondérant, les cantons peuvent instituer une autorité autre qu'un tribunal ( art. 86 al. 3 LTF ). Cette dernière disposition autorise, mais n'oblige pas les cantons à instituer une autorité de recours autre qu'un tribunal (ALAIN WURZBURGER, in Commentaire de la LTF, 2009, n° 24 ad art. 86 LTF ; ESTHER TOPHINKE, in Basler Kommentar, Bundesgerichtsgesetz, 2008, n° 25 ad art. 86 LTF ).</w:t>
      </w:r>
    </w:p>
    <w:p>
      <w:r>
        <w:rPr>
          <w:b/>
        </w:rPr>
        <w:t>E. 4.3</w:t>
      </w:r>
    </w:p>
    <w:p>
      <w:r>
        <w:t>L' art. 29a Cst. étend donc le contrôle judiciaire en principe à toutes les contestations juridiques (cf. BO 1998 CE 257 [intervention Wicki]). Il s'agit en particulier de contestations portant sur les droitset les obligations de personnes (physiques ou morales). Ces droits et BGE 136 I 323 S. 329 obligations ne découlent pas de la garantie de l'accès au juge elle-même, mais de ceux et celles que confère ou impose à l'intéressé un état de fait visé, notamment, par la Constitution fédérale, la loi ou encore une ordonnance. La garantie ne s'oppose pas aux conditions de recevabilité habituelles du recours ou de l'action. Par ailleurs, elle s'étend également à certains actes matériels de l'administration (AUBERT/MAHON, Petit commentaire de la Constitution fédérale de la Confédération suisse [...], 2003, n° 5 ad art. 29a Cst. et p. 276 n. 16; AUER/MALINVERNI/HOTTELIER, Droit constitutionnel suisse, Les droits fondamentaux, vol. II, 2 e éd. 2006, p. 562 ss n. 1199 ss; CHRISTINA KISS, Rechtsweggarantie und Totalrevision der Bundesrechtspflege, RJB 134/1998 p. 288 ss; ANDREAS KLEY, in Die Schweizerische Bundesverfassung, Kommentar, 2 e éd. 2008, n° 11 s. ad art. 29a Cst. ; cf. aussi WALTER KÄLIN, Die Bedeutung der Rechtsweggarantie für die kantonale Verwaltungsjustiz, ZBl 135/1999 p. 56).</w:t>
      </w:r>
    </w:p>
    <w:p>
      <w:r>
        <w:rPr>
          <w:b/>
        </w:rPr>
        <w:t>E. 4.4</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(PIERRE MOOR, Droit administratif, vol. II, 2 e éd. 2002, n° 2.1.2.1 p. 156 et n° 2.1.2.3 p. 164; WURZBURGER, op. cit., n° 52 ad art. 82 LTF ; BENOÎT BOVAY, Procédure administrative, 2000, p. 261; ATF 121 II 473 consid. 2b p. 478 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 ATF 131 IV 32 consid. 3 p. 34; MOOR, op. cit., n° 2.1.2.3 p. 164; ANDRÉ GRISEL, Traité de droit administratif, vol. II, 1984, p. 863; ANDREAS KEISER, Rechtsschutz im öffentlichen BGE 136 I 323 S. 330 Personalrecht nach dem revidierten Verwaltungsrechtspflegegesetz des Kantons Zürich, ZBl 99/1998 p. 211; MICHAEL MERKER, Rechtsschutzsysteme im neuen öffentlichen Personalrecht, in Personalrecht des öffentlichen Dienstes, 1999, p. 470 ss; voir aussi, sur les questions de délimitation entre une décision et un acte interne, TOMAS POLEDNA, Verfügung und verfügungsfreies Handeln im öffentlichen Personalrecht - ein Praxisüberblick, PJA 1998 p. 917 ss). Lorsque le fonctionnaire s'oppose à un acte de ce type, ce sont les mesures disciplinaires ou autres moyens de contrainte ressortissant aux règles régissant les rapports internes qui sont susceptibles de s'appliquer (MOOR, ibidem).</w:t>
      </w:r>
    </w:p>
    <w:p>
      <w:r>
        <w:rPr>
          <w:b/>
        </w:rPr>
        <w:t>E. 4.5</w:t>
      </w:r>
    </w:p>
    <w:p>
      <w:r>
        <w:t>Les premiers juges ont retenu que la mesure dont le recourant avait fait l'objet avait été prise en vertu de l'art. 30 al. 3 de la loi cantonale genevoise du 26 octobre 1957 sur la police (LPol; RSG F 1 05). Selon cette disposition, le commandant de la gendarmerie, le chef de la police judiciaire et le chef de la police de la sécurité internationale décident de l'affectation de leurs collaborateurs selon leurs aptitudes et les besoins. La durée de l'affectation à un poste de travail dépend des exigences du service. Cette réglementation impose au fonctionnaire l'obligation d'accepter un changement d'affectation tout en en fixant les limites. On peut déduire qu'un déplacement n'est justifié que s'il est nécessaire aux besoins du service et si l'attribution d'une nouvelle occupation répond aux aptitudes du fonctionnaire. L'agent n'est pas tenu, en particulier, d'accepter une activité fondamentalement différente et qui soit sans rapport avec celles-ci. Il en résulte qu'une mutation qui intervient en application de l'art. 30 al. 3 LPol, quand bien même elle n'a pas de conséquences financières pour l'intéressé, relève non seulement de l'organisation des services de police, mais est également susceptible d'affecter la situation juridique du fonctionnaire de police en tant que titulaire de droits et d'obligations à l'égard de l'Etat. Son objet va au-delà de l'exécution des tâches qui incombent au fonctionnaire dans sa sphère d'activité habituelle ou des instructions qui lui sont données dans l'exercice de ces tâches. La contestation à laquelle elle peut donner lieu est une contestation juridique qui bénéficie de la garantie de l'accès au juge de l' art. 29a Cst.</w:t>
      </w:r>
    </w:p>
    <w:p>
      <w:r>
        <w:rPr>
          <w:b/>
        </w:rPr>
        <w:t>E. 4.6</w:t>
      </w:r>
    </w:p>
    <w:p>
      <w:r>
        <w:t>On ajoutera que le Tribunal fédéral a déjà eu l'occasion de juger que le déplacement (non disciplinaire) d'un fonctionnaire décidé sur la base de l'art. 9 de l'ancienne loi sur le statut des fonctionnaires (LStF/GE), en corrélation avec l'art. 11 de l'ancien règlement des employés, était une décision en principe attaquable. L'application de cette BGE 136 I 323 S. 331 disposition dépendait - d'une manière tout à fait analogue à la réglementation ici en cause - de deux conditions: d'une part, la nouvelle activité devait avoir pour but d'assurer le bon fonctionnement de l'administration (et non d'infliger une peine disciplinaire); d'autre part, la nouvelle activité de l'agent devait répondre à ses aptitudes sans porter atteinte à la considération à laquelle il pourrait prétendre ( ATF 108 Ib 419 consid. 2a p. 421; GRISEL, op. cit., p. 480; cf. aussi RHINOW/KRÄHENMANN, Schweizerische Verwaltungsrechtsprechung, Ergänzungsband, 1990, p. 106 n. 35).</w:t>
      </w:r>
    </w:p>
    <w:p>
      <w:r>
        <w:rPr>
          <w:b/>
        </w:rPr>
        <w:t>E. 4.7</w:t>
      </w:r>
    </w:p>
    <w:p>
      <w:r>
        <w:t>En l'espèce, le recourant exerçait avant son déplacement la fonction de chef de la brigade X. Il dirigeait un service avec des fonctionnaires sous son commandement. Dans son recours à l'autorité cantonale, il a fait valoir que sa nouvelle fonction ne correspondait ni à ses aptitudes ni à son expérience. Son nouveau cahier des charges, pour autant que l'on puisse en juger à ce stade, avait un contenu totalement différent de celui d'un chef de brigade. Le recourant était fondé à invoquer de manière plausible l'art. 30 al. 3 LPol pour s'opposer à son déplacement. C'est à tort, par conséquent, que les premiers juges ont déclaré son recours irrecevable au motif que le transfert ne constituait pas une sanction disciplinaire déguisée et qu'il représentait pour le reste une mesure d'organisation interne. Le jugement entrepris doit par conséquent être annulé et la cause renvoyée aux premiers juges pour examen du litige au fond, sous réserve des conditions habituelles de recevabilité non examinées ici.</w:t>
      </w:r>
    </w:p>
    <w:p>
      <w:r>
        <w:rPr>
          <w:b/>
        </w:rPr>
        <w:t>E. 5</w:t>
      </w:r>
    </w:p>
    <w:p>
      <w:r>
        <w:t>Les frais de la cause sont mis à la charge de l'intimé qui succombe ( art. 66 al. 1 LTF ; ATF 136 I 39 consid. 8.3.1 [recte: 8.1.3] p. 41). Le recourant, qui était assisté d'un avocat jusqu'à la date de la fin de l'échange d'écritures, a droit à des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