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w:t>
      </w:r>
    </w:p>
    <w:p>
      <w:r>
        <w:t>Bundesgericht (BGE), 2010-01-13, DE</w:t>
      </w:r>
    </w:p>
    <w:p>
      <w:r>
        <w:rPr>
          <w:b/>
        </w:rPr>
        <w:t xml:space="preserve">Quelle: </w:t>
      </w:r>
      <w:r>
        <w:t>https://mcp.opencaselaw.ch/entscheid/bge_BGE_136_I_1</w:t>
      </w:r>
    </w:p>
    <w:p>
      <w:r>
        <w:t>FR: ATF 136 I 1</w:t>
      </w:r>
    </w:p>
    <w:p>
      <w:r>
        <w:t>IT: DTF 136 I 1</w:t>
      </w:r>
    </w:p>
    <w:p>
      <w:pPr>
        <w:pStyle w:val="Heading2"/>
      </w:pPr>
      <w:r>
        <w:t>Regeste</w:t>
      </w:r>
    </w:p>
    <w:p>
      <w:r>
        <w:t>Regeste Art. 8 Abs. 1, Art. 27, 36 Abs. 1 Satz 2 BV; Art. 10 TSchG, Art. 28 Abs. 2 TSchV; Verbot des Erwerbs, der Zucht und des Zuzugs von Hunden mit erhöhtem Gefährdungspotenzial. Kantonale Zuständigkeit zum Erlass von sicherheitspolizeilich motivierten Zuchtvorschriften (E. 3). Kantonale Vorschriften, welche sich zur Regelung eines Erwerbs-, Zucht- und Zuzugsverbots von Hunden mit erhöhtem Gefährdungspotenzial auf Rassetypen abstützen, verletzen das Rechtsgleichheitsgebot nicht (E. 4). Einschränkungen von Zuchtverboten müssen im Gesetz selbst vorgesehen sein. Dabei ist nicht nur der Wortlaut der Bestimmung massgebend, sondern das gesamte Auslegungsresultat (E. 5.3). Vorschriften zum Schutz der Bevölkerung nach Massgabe der Gefährlichkeit der Hunde verletzen den Grundsatz der Gleichbehandlung der Konkurrenten nicht, auch wenn sie sich für Züchter verschiedener Hunderassen unterschiedlich auswirken (E. 5.5).</w:t>
      </w:r>
    </w:p>
    <w:p>
      <w:r>
        <w:t>Regeste Art. 8 al. 1, art. 27, 36 al. 1 2 e phrase Cst.; art. 10 LPA, art. 28 al. 2 OPAn; interdiction d'acquisition, d'élevage et de séjour de chiens potentiellement dangereux. Compétence des cantons pour édicter des règles de police sur l'élevage des chiens visant à préserver la sécurité et l'ordre publics (consid. 3). Des dispositions cantonales qui réglementent l'acquisition, l'élevage et le séjour de chiens présentant un haut potentiel de dangerosité en fonction des types de races ne violent pas le droit à l'égalité (consid. 4). Les restrictions liées à l'interdiction de l'élevage doivent être prévues par la loi elle-même. La lettre de la disposition n'est à cet égard pas seule décisive, mais bien le résultat final de son interprétation (consid. 5.3). Même si leurs effets sur les éleveurs diffèrent en fonction des races de chiens, des dispositions visant à protéger la population fondées sur le danger que représente le chien ne violent pas le principe de l'égalité de traitement entre concurrents (consid. 5.5).</w:t>
      </w:r>
    </w:p>
    <w:p>
      <w:r>
        <w:t>Regesto Art. 8 cpv. 1, art. 27, 36 cpv. 1 seconda frase Cost.; art. 10 LPAn, art. 28 cpv. 2 OPAn; divieto di acquisto, allevamento e soggiorno di cani potenzialmente molto pericolosi. Competenza dei Cantoni ad adottare, a tutela della sicurezza pubblica, prescrizioni sull'allevamento di cani (consid. 3). Il principio della parità di trattamento non è leso da disposizioni cantonali che si fondano sulle differenti razze per regolamentare l'acquisto, l'allevamento e il soggiorno di cani potenzialmente molto pericolosi (consid. 4). Le restrizioni concernenti il divieto di allevamento devono essere previste dalla legge stessa. Al riguardo non è determinante unicamente il tenore della norma, bensì il risultato dell'interpretazione nel suo insieme (consid. 5.3). Anche se implicano delle differenze per gli allevatori delle diverse razze canine, le disposizioni volte a proteggere la popolazione fondate sulla pericolosità del cane non violano il principio della parità di trattamento tra concorrenti (consid. 5.5).</w:t>
      </w:r>
    </w:p>
    <w:p>
      <w:pPr>
        <w:pStyle w:val="Heading2"/>
      </w:pPr>
      <w:r>
        <w:t>Erwägungen</w:t>
      </w:r>
    </w:p>
    <w:p>
      <w:r>
        <w:rPr>
          <w:b/>
        </w:rPr>
        <w:t>E. 3</w:t>
      </w:r>
    </w:p>
    <w:p>
      <w:r>
        <w:t>Nach dem angefochtenen § 8 Abs. 1 des zürcherischen Hundegesetzes vom 14. April 2008 (HuG; LS 554.5; in Kraft seit 1. Januar 2010) ist "der Erwerb, die Zucht sowie der Zuzug von Hunden mit erhöhtem Gefahrenpotential (...) verboten". Die Kompetenz zum Erlass von Vorschriften zum unmittelbaren Schutz des Menschen vor gefährlichen Hunden fällt in den Zuständigkeitsbereich der Kantone (vgl. BGE 133 I 249 E. 3.2 S. 254, BGE 133 I 172 E. 2 S. 174 f.). Allerdings hat der Bundesgesetzgeber in Art. 10 Abs. 2 des Tierschutzgesetzes vom 16. Dezember 2005 (TSchG; SR 455) den Bundesrat ermächtigt, u.a. die Zucht von Tieren mit bestimmten Merkmalen, insbesondere Abnormitäten in Körperbau und Verhalten, zu verbieten. Der Inhalt des Art. 10 TSchG wurde bereits 2003 als Art. 7a und 7c im Rahmen des Gen-Lex-Paketes (siehe Botschaft vom 1. März 2000 zu einer Änderung des Bundesgesetzes über den Umweltschutz, BBl 2000 2391, 2422 ff.; Referendumsvorlage BBl 2003 2778, 2793 ff.) in das Tierschutzgesetz aufgenommen, aber erst 2006 in Kraft gesetzt. Die Regelung zielt primär auf ein Verbot von so genannten Qualzuchten ab, kann aber auch als generelle Basis für Vorschriften betreffend die Zucht von Hunden herangezogen werden (vgl. Parlamentarische Initiative, Verbot von Pitbulls in der Schweiz, Bericht der Kommission für Wissenschaft, Bildung und Kultur des Nationalrates vom 20. Februar 2009 [nachfolgend: Bericht], BBl 2009 3547, 3554). Konkretisiert wird Art. 10 TSchG durch Art. 25 ff. der Tierschutzverordnung vom 23. April 2008 (TSchV; SR 455.1). Nach Art. 28 Abs. 2 TSchV ist bei der Zucht von Hunden die Selektion unter Berücksichtigung des Einsatzzweckes darauf auszurichten, Hunde mit ausgeglichenem Charakter, guter Sozialisierbarkeit sowie geringer Aggressionsbereitschaft gegenüber Menschen und Tieren zu erhalten. Zeigt ein Hund ein Übermass an Aggressionsverhalten oder Ängstlichkeit, so ist er von der Zucht auszuschliessen (Abs. 3). Es fragt sich daher, ob mit der BGE 136 I 1 S. 5 bundesrechtlichen Regelung die Kompetenz der Kantone beschnitten wird, sicherheitspolizeilich motivierte züchterische Massnahmen zum unmittelbaren Schutz der Menschen vor gefährlichen Hunden zu erlassen. Die Frage ist zu verneinen: Der Bundesrat betont in seiner Botschaft zum neuen Tierschutzgesetz, dass Artikel 10 "ausschliesslich die tierschutzrelevanten Aspekte der Tierzucht regelt" (vgl. Botschaft vom 9. Dezember 2002 zur Revision des Tierschutzgesetzes, BBl 2003 657, 677 zu Art. 9). Auch die Kommission für Wissenschaft, Bildung und Kultur des Nationalrates vertritt bei der Behandlung der Parlamentarischen Initiative "Verbot von Pitbulls in der Schweiz" (vgl. Bericht, BBl 2009 3547 ff.) diese Auffassung. Sie normiert deshalb in ihrem Entwurf zu einem eidgenössischen Hundegesetz, das sich auf eine neu zu schaffende Verfassungsnorm ( Art. 80 Abs. 1 bis BV : Schutz des Menschen vor Tieren) stützen soll, ausdrücklich sicherheitspolizeiliche Anforderungen an die Zucht zum Schutz des Menschen und der Tiere vor Hunden (Art. 1 und 2), da mit Art. 10 TSchG dieser Schutz nicht abgedeckt ist. An die Zucht werden somit tierschutzrechtliche und sicherheitspolizeiliche Anforderungen gestellt (Bericht, BBl 2009 3568 f. zu Allgemeines, 3569 zu Art. 2 Grundsätze).</w:t>
      </w:r>
    </w:p>
    <w:p>
      <w:r>
        <w:rPr>
          <w:b/>
        </w:rPr>
        <w:t>E. 4</w:t>
      </w:r>
    </w:p>
    <w:p>
      <w:r>
        <w:t>Die Beschwerdeführer rügen zunächst eine Verletzung des Rechtsgleichheitsgebots ( Art. 8 BV ), m.a.W. machen sie geltend, dass die durch die zukünftige kantonale Verordnung verbotenen Hunde (American Pitbull Terrier [auch bekannt unter: Pitbull Terrier, Bandog und Basicdog; vgl. jetzt § 5 Abs. 1 lit. d der Hundeverordnung (HuV) vom 25. November 2009 (LS 554.51), in Kraft seit 1. Januar 2010], American Staffordshire Terrier, Bullterrier [auch bekannt unter American Bull Terrier; vgl. § 5 Abs. 1 lit. b HuV], Staffordshire Bullterrier) mit den anderen, nicht verbotenen Hunden in einer vergleichbaren Situation stünden (nicht per se gefährlicher) und keine sachlichen Gründe für eine differenzierte rechtliche Behandlung erkennbar seien.</w:t>
      </w:r>
    </w:p>
    <w:p>
      <w:r>
        <w:rPr>
          <w:b/>
        </w:rPr>
        <w:t>E. 4.1</w:t>
      </w:r>
    </w:p>
    <w:p>
      <w:r>
        <w:t>Nach Art. 8 Abs. 1 BV verletzt ein Erlass das Rechtsgleichheitsgebot, wenn er rechtliche Unterscheidungen trifft, für die keinvernünftiger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BGE 136 I 1 S. 6 Grund in den zu regelnden Verhältnissen besteht, kann zu verschiedenen Zeiten unterschiedlich beantwortet werden. Dem Gesetzgeber bleibt im Rahmen dieser Grundsätze ein weiter Gestaltungsspielraum ( BGE 131 I 1 E. 4.2 S. 6 f.; BGE 129 I 1 E. 3 S. 3, BGE 129 I 265 E. 3.2 S. 268 f.; BGE 127 I 185 E. 5 S. 192; BGE 127 V 448 E. 3b S. 454; je mit Hinweisen).</w:t>
      </w:r>
    </w:p>
    <w:p>
      <w:r>
        <w:rPr>
          <w:b/>
        </w:rPr>
        <w:t>E. 4.2</w:t>
      </w:r>
    </w:p>
    <w:p>
      <w:r>
        <w:t>Das Bundesgericht hat sich bereits mehrfach mit der Frage beschäftigt, ob Regelungen, welche sich auf Rassetypen abstützen, um die Gefährlichkeit von Hunden zu bestimmen, vor dem Rechtsgleichheitsgebot standhalten. Es hat dabei zunächst festgehalten, dass den Kantonen in diesem Bereich ein weiter Gestaltungsspielraum zukommt ( BGE 133 I 249 E. 4.3 S. 257).</w:t>
      </w:r>
    </w:p>
    <w:p>
      <w:r>
        <w:rPr>
          <w:b/>
        </w:rPr>
        <w:t>E. 4.2.1</w:t>
      </w:r>
    </w:p>
    <w:p>
      <w:r>
        <w:t>In BGE 132 I 7 E. 4 S. 10 ff. hat das Bundesgericht ausgeführt, dass gewisse Zweifel an der Richtigkeit und Wirksamkeit der getroffenen Regelung bestünden und es diskutabel sein möge, die Bewilligungspflicht nur an die Rasse zu knüpfen, werde doch das Wesen eines Hundes in beträchtlichem Ausmass auch durch die Erziehung (Sozialisation) und durch Umwelteinflüsse geprägt. Das Abstützen auf die Rasse entbehre indessen nicht jeglicher sachlicher Berechtigung und bilde nicht ein zum vornherein verfehltes und geradezu willkürliches Abgrenzungskriterium. Denn es sei eine Erfahrungstatsache, dass gewisse Rassen von ihrer genetischen Anlage her eher zu Aggressivität neigen oder dazu abgerichtet werden können als andere. Demnach könne grundsätzlich auf die Rasseliste abgestellt werden. Bei deren Formulierung dürfe bis zu einem gewissen Grad auch das subjektive Sicherheitsbedürfnis mitberücksichtigt werden. Solange die dem Rassekriterium zugrunde liegenden Annahmen nach bisherigen Erfahrungen einigermassen plausibel erschienen, sei das Abstützen darauf vertretbar. Widerlegten allerdings neue "zuverlässige und aussagekräftige Erhebungen" die der Bewilligungsregelung zugrunde liegende Risikobeurteilung, müsste die Regelung entsprechend überarbeitet werden.</w:t>
      </w:r>
    </w:p>
    <w:p>
      <w:r>
        <w:rPr>
          <w:b/>
        </w:rPr>
        <w:t>E. 4.2.2</w:t>
      </w:r>
    </w:p>
    <w:p>
      <w:r>
        <w:t>In BGE 133 I 249 E. 4.3 S. 257 f. und im Urteil 2P.24/2006 vom 27. April 2007 E. 5.3, welche beide Verordnungsvorschriften zu zwölf verbotenen Hunderassen betrafen, hat das Bundesgericht seine in BGE 132 I 7 dargelegte Auffassung bestätigt und präzisierend ausgeführt, dass Bisse gewisser Rassen und von Kreuzungen mit diesen besonders schlimme Konsequenzen haben könnten, insbesondere wegen der Morphologie, der Kraft, der Angriffsart oder der Reizschwelle der Tiere. Darüber, dass die verbotenen Tiere BGE 136 I 1 S. 7 gefährlich wären, bestünde auch ein eigentlicher Konsens: so würden die im Kanton Wallis verbotenen Rassen praktisch der damals veröffentlichten Liste des Bundesamtes für Veterinärwesen und in grossen Teilen der Liste des Kantons Basel-Landschaft (vgl. BGE 132 I 7 ) entsprechen. Neben dem Sicherheitsbedürfnis der Bevölkerung dürfe der Gesetzgeber auch dem kulturellen Stellenwert einer Hunderasse (Bernhardiner) oder der Vertrautheit der Bevölkerung mit bestimmten Rassen (Schäferhund) Rechnung tragen.</w:t>
      </w:r>
    </w:p>
    <w:p>
      <w:r>
        <w:rPr>
          <w:b/>
        </w:rPr>
        <w:t>E. 4.3</w:t>
      </w:r>
    </w:p>
    <w:p>
      <w:r>
        <w:t>Im vorliegenden Fall verhält es sich nicht anders. § 8 und § 30 HuG verletzen das Rechtsgleichheitsgebot nicht:</w:t>
      </w:r>
    </w:p>
    <w:p>
      <w:r>
        <w:rPr>
          <w:b/>
        </w:rPr>
        <w:t>E. 4.3.1</w:t>
      </w:r>
    </w:p>
    <w:p>
      <w:r>
        <w:t>Die Zugehörigkeit eines Hundes zu einer bestimmten Rasse gibt für sich allein zwar noch keinen zuverlässigen Aufschluss über die Gefährlichkeit des Tieres. Massgebend sind - wie das Bundesgericht bereits mehrfach betont hat - auch die Erziehung (Sozialisation) und die Umwelteinflüsse ( BGE 132 I 7 E. 4.2 S. 11 mit weiteren Hinweisen; BGE 133 I 249 E. 4.3 S. 257). Bei der Qualifikation der American Pitbull Terrier, American Staffordshire Terrier, Bullterrier, Staffordshire Bullterrier als Rassen mit erhöhtem Gefährdungspotential dürfen aber deren genetische Anlagen nicht ausser acht gelassen werden. Ihre angeborenen Verhaltenseigenschaften und ihre Anatomie machen sie potenziell gefährlicher als andere Rassen. Sie können aufgrund ihres Körperbaus, ihres Gebisses, ihrer Kraft und ihrer Angriffsart sehr schwere Verletzungen bewirken. Nicht zu vergessen ist auch, dass sie gerade wegen ihrer Verhaltenseigenschaften leichter zur Aggressivität abgerichtet werden können und eine unrichtige Haltung verheerende Folgen haben kann (vgl. etwa http://www.bulldogbreeds.com/bullterrier.html : "but in the wrong hands it can turn out to be a horrid disaster"; besucht am 10. Dezember 2009). Das heisst indes nicht, dass alle Hunde der aufgeführten Rasse besonders gefährlich wären. Eine Abklärung jedes einzelnen Hundes, welche etwa drei Tage benötigen würde (vgl. die Aussage des stellvertretenden Kantonstierarztes des Kantons Graubünden, Protokoll des Grossen Rates des Kantons Graubünden vom 30. August 2007 zum Veterinärgesetz [nachfolgend: Protokoll], S. 110), wäre allerdings nicht mehr praktikabel und würde die Vollzugskapazitäten des Kantons überfordern. Ein gewisser Schematismus ist deshalb unvermeidlich ( BGE 100 Ia 41 E. 2c S. 45 f.; siehe auch BGE 133 I 249 E. 4.2 am Ende S. 257; MÜLLER/SCHEFER, Grundrechte in der Schweiz, 4. Aufl. 2008, S. 671 ff.). Im Übrigen herrscht innerhalb der Schweiz (siehe die detaillierten Hinweise in Bericht, BBl 2009 BGE 136 I 1 S. 8 3557 f.) und in Europa insgesamt ein Konsens über die Gefährlichkeit dieser vier Hunderassen. So dürfen diese Tiere nicht nach Deutschland eingeführt werden (§ 2 Abs. 1 des Hundeverbringungs- und -einfuhrbeschränkungsgesetzes vom 12. April 2001; BGBl. I S. 530). Auch Frankreich verbietet die Einreise mit diesen Hunden und knüpft an diese ein Sterilisierungsgebot und ein Zugangsverbot für gewisse öffentlich zugängliche Orte (vgl. zum Ganzen Bericht, BBl 2009 3558 ff.; zu einem Zugangsverbot in Genf siehe BGE 133 I 145 ). Zudem darf - wie das Bundesgericht ebenfalls bereits mehrfach ausgeführt hat - bei der Bestimmung der Rasseliste bis zu einem gewissen Grad auch das subjektive Sicherheitsbedürfnis mitberücksichtigt werden (dazu nachfolgend E. 4.4.2).</w:t>
      </w:r>
    </w:p>
    <w:p>
      <w:r>
        <w:rPr>
          <w:b/>
        </w:rPr>
        <w:t>E. 4.3.2</w:t>
      </w:r>
    </w:p>
    <w:p>
      <w:r>
        <w:t>Beruhen die Differenzierungen nicht ausschliesslich in tatsächlichen Unterscheidungen, sondern auch in externen Regelungszielen, ist zu prüfen, ob das Ziel - Schutz der Bevölkerung - selbst zulässig erscheint und ob sich die Ungleichbehandlung zur Erreichung des vom Gesetzgeber verfolgten Zieles als verhältnismässig erweist (vgl. RHINOW/SCHEFER, Schweizerisches Verfassungsrecht, 2. Aufl. 2009, Rz. 1849; MÜLLER/SCHEFER, a.a.O., S. 662; klarer noch JÖRG PAUL MÜLLER, Grundrechte in der Schweiz, 3. Aufl. 1999, S. 400; RENÉ WIEDERKEHR, Rechtfertigung von Ungleichbehandlungen: Gilt Art. 36 BV auch bei der Einschränkung der Rechtsgleichheit, AJP 2008 S. 394 ff., 399 ff., 405 f.; siehe auch GEORG MÜLLER, in: Kommentar zur Bundesverfassung der Schweizerischen Eidgenossenschaft vom 29. Mai 1874, 1987 ff. [nachfolgend: Kommentar aBV], N. 32a zu Art. 4 aBV ; siehe auch BGE 133 I 249 E. 4.2. S. 257 am Ende). Der Schutz der Bevölkerung ist offensichtlich und auch unbestritten ein legitimes Ziel. Der Kanton Zürich hat den ihm von der Rechtsprechung zugestandenen grossen Gestaltungsspielraum ( BGE 133 I 249 E. 4.2 S. 257) - abgestuft nach der Gefährlichkeit der Hunde - in vertretbarer Weise genutzt: Die Massnahmen knüpfen einerseits an Anforderungen an Hundehalter, wie etwa § 6 (Haftpflichtversicherung), § 7 (Praktische Hundeausbildung), § 9 ff. (Hundehaltung), und andererseits an die Rasse (§ 8, § 30: Bewilligung und Verbot) an. In Anbetracht der dargestellten Gefährlichkeit dieser Hunderassen erweist sich ein Verbot als geeignet und auch als erforderlich, die Bevölkerung zu schützen. Die angeborenen Verhaltenseigenschaften, der Körperbau und die Gebisse, welche schwere bleibende Schäden verursachen können, die angesprochene leichtere Abrichtung zur Aggressivität und die notwendige richtige Haltung sowie die BGE 136 I 1 S. 9 Berücksichtigung eines gewissen zulässigen Schematismus, lassen keinmilderes Mittel als das Verbot erkennen (vgl. BGE 133 I 249 E. 4.2 am Ende S. 257). Schliesslich besteht auch ein offensichtliches Missverhältnis zwischen dem öffentlichen Interesse, Schutz der Bevölkerung vor äusserst gefährlichen Hunden, und dem privaten Interesse, solche u.a. zu erwerben und zu züchten (vgl. BGE 133 I 249 E. 4.2 S. 257).</w:t>
      </w:r>
    </w:p>
    <w:p>
      <w:r>
        <w:rPr>
          <w:b/>
        </w:rPr>
        <w:t>E. 4.4</w:t>
      </w:r>
    </w:p>
    <w:p>
      <w:r>
        <w:t>Was die Beschwerdeführer dagegen vorbringen, überzeugt nicht:</w:t>
      </w:r>
    </w:p>
    <w:p>
      <w:r>
        <w:rPr>
          <w:b/>
        </w:rPr>
        <w:t>E. 4.4.1</w:t>
      </w:r>
    </w:p>
    <w:p>
      <w:r>
        <w:t>So führen sie aus, dass das Abstellen auf die Zugehörigkeit zu bestimmten Rassen für die Bestimmung der Hunde mit erhöhtem Gefährdungspotential aufgrund neuerer Erkenntnisse kein zulässiges Kriterium mehr sei. Diese zeigten, dass Differenzierungen nach der Rasse jeder wissenschaftlichen Begründetheit entbehrten, um eine Einteilung in gefährliche oder ungefährliche Hunde vornehmen zu können. Dies habe auch der Regierungsrat in seiner Botschaft betont. Massgeblich seien vielmehr die Umstände der Aufzucht, der Grad der Erziehung und die Eigenschaften seines Halters. Zudem könne die Aggressivität auch Folge der in einer bestimmten Situation empfundenen Angst oder Furcht sein. Auch würden die Bissstatistiken weder eine spezielle Häufung noch eine schwerwiegendere Verletzung von Bissen der zu verbietenden Hunde beweisen. Habe das Bundesgericht in BGE 132 I 7 einen Verstoss gegen das Rechtsgleichheitsgebot noch mit bisher gemachten, einigermassen plausiblen Erfahrungen verneinen können, so träfe dies aufgrund der neuen Erkenntnisse gerade nicht mehr zu. Um ihre Argumente zu untermauern, stützen sich die Beschwerdeführer auf zwei neuere Untersuchungen. Ob diese dem vom Bundesgericht geforderten Stand der "zuverlässigen und aussagekräftigen Erhebungen" ( BGE 132 I 7 E. 4.2 am Ende S. 13) überhaupt entsprechen, kann - wie noch darzulegen sein wird - offengelassen werden: Die fachliche Stellungnahme der in Hamburg beheimateten tierärztlichen Gemeinschaftspraxis für Verhaltenstherapie nimmt auf die Aussage des hamburgischen Gesetzgebers Bezug, wonach "mit dem Halten eines Hundes (...) eine nicht kalkulierbare Gefährdung verbunden sein (kann), weil jeder Hund ein domestizierter Wolf bleibt". Auf die vorliegend interessierende Frage wird indes in keiner Weise eingegangen. Das zweite Gutachten ist ein Parteigutachten eines ausgewiesenen Hundeveterinärmediziners. Es datiert zwar vom Januar 2009, führt aber Literatur auf, welche vor den zitierten Bundesgerichtsentscheiden publiziert worden ist, und kommt BGE 136 I 1 S. 10 deshalb zu keinem grundsätzlich anderen Schluss als das Bundesgericht. Der Hinweis auf die Bissstatistik vermag ebenfalls nicht zu überzeugen. Zum einen ist die Erhebungsdauer noch zu kurz, um zuverlässige Schlüsse aus den statistischen Angaben zu ziehen (siehe Bericht, BBl 2009 3562 Ziff. 2.5.4). Statistische Angaben, die nur einen kurzen Erhebungszeitraum berücksichtigen, sind ungeeignet, als Grundlage für Gesetzesanpassungen zu dienen, da damit zufällige Ereignisse deren Prozess bestimmen würden. Erhebungen sollten deshalb über mehrere Jahre hinweg durchgeführt werden, denn nur so sind aussagekräftige Vergleiche möglich (siehe Bericht, BBl 2009 3562 Ziff. 2.5.4). Zum anderen sind die statistischen Angaben auch unvollständig. Sie sagen nichts zu Ursachen oder zum Hergang aus, die zu Bissverletzungen geführt haben. Die Zahlen beantworten zudem die Frage nicht, ob die Hunde von sich aus aggressiv geworden sind und welcher Anteil dieser Beissunfälle etwa auf menschliches Fehlverhalten zurückzuführen wäre (zu solchen möglichen Fällen bei Hirtenhunden im Kanton Graubünden vgl. Regierungsrat Trachsel, Protokoll, a.a.O., S. 115). Ebenso fehlen Angaben über den Schweregrad der gemeldeten Verletzungen, womit gerade die Tatsache nicht erfasst wird, dass Hunde - namentlich bestimmter Rassen - (äusserst) schwere Unfälle verursachen können und verursacht haben (vgl. BGE 133 I 249 E. 4.2 S. 256, BGE 133 I 172 E. 3 S. 176). Unsicherheiten bestehen auch über die genauen Angaben der Hundetypen, da diese Informationen in den meisten Fällen vom Opfer stammen (vgl. dazu Bericht, BBl 2009 3562 Ziff. 2.5.4). Zusammenfassend lässt sich somit festhalten, dass - entgegen der Auffassung der Beschwerdeführer - noch keine neuen zuverlässigen und aussagekräftigen Erhebungen vorliegen, welche ein Abweichen von der bundesgerichtlichen Rechtsprechung notwendig machen würden.</w:t>
      </w:r>
    </w:p>
    <w:p>
      <w:r>
        <w:rPr>
          <w:b/>
        </w:rPr>
        <w:t>E. 4.4.2</w:t>
      </w:r>
    </w:p>
    <w:p>
      <w:r>
        <w:t>Die Beschwerdeführer führen zudem an, dass weder das pauschale Argument der Stärkung der öffentlichen Sicherheit noch das subjektive Sicherheitsbedürfnis "zur Begründung der Vernünftigkeit und Sachlichkeit der Rasse als Unterscheidungskriterium" herangezogen werden könnten. Massgebend müsse vielmehr ein objektiver Massstab sein, der sich an der Verfassung zu orientieren habe. Das subjektive Sicherheitsgefühl sei kein verfassungsrechtlich vorgesehenes Unterscheidungskriterium. Vielmehr stehe es damit sogar BGE 136 I 1 S. 11 in Widerspruch. Ohne Anlass eines sachlichen Grundes würde das Tier damit auch in seiner Würde verletzt. Das Sicherheitsgefühl der Bevölkerung stellt ein Faktum dar, das die Rechtssetzung legitimerweise beeinflussen darf und muss, wenn es aufgrund von Erhebungen festgestellt wird (dazu YVO HANGARTNER, Besprechung von BGE 132 I 7 , AJP 2006 S. 740 ff., 742). Im Gegensatz zu den Situationen, die das Bundesgericht in den bereits erwähnten Entscheiden (Kanton Basel-Landschaft: BGE 132 I 7 ; Kanton Wallis: BGE 133 I 249 , Urteil 2P.24/2006 vom 27. April 2007) zu beurteilen hatte, waren die in der Variantenabstimmung zu verbietenden oder einer Bewilligungspflicht zu unterstellenden Hunderassen bereits grundsätzlich bekannt (American Pitbull Terrier, American Staffordshire Terrier, Bullterrier, Staffordshire Bullterrier sowie Kreuzungen mit diesen Rassen; siehe dazu unten E. 5.3.2). Es kann deshalb davon ausgegangen werden, dass das subjektive Sicherheitsbedürfnis der kantonalzürcherischen Bevölkerung bei der Volksabstimmung zum Hundegesetz vom 14. April 2008 genau auf diese vier Hunderassen ausgerichtet war. Mit Bezug auf die verbotenen Hunderassen handelt es sich somit nicht um ein pauschales Argument der Erhöhung der öffentlichen Sicherheit, sondern um ein konkretes. Wie dadurch die Würde der Kreatur betroffen sein könnte, ist nicht ersichtlich.</w:t>
      </w:r>
    </w:p>
    <w:p>
      <w:r>
        <w:rPr>
          <w:b/>
        </w:rPr>
        <w:t>E. 4.4.3</w:t>
      </w:r>
    </w:p>
    <w:p>
      <w:r>
        <w:t>Die Beschwerdeführer machen sodann geltend, dass mit dem Kriterium der Hunderasse zur Regelung des Umgangs mit Hunden an das falsche Kriterium angeknüpft und dadurch das Störerprinzip verletzt werde. Das Problem seien nicht die Hunde, sondern die Hundehalter. Diese müssten einer Kontrolle unterliegen. Inwiefern mit der strittigen Regelung das Störerprinzip verletzt sein sollte, ist nicht ersichtlich: Das Störerprinzip besagt, dass sich polizeiliches Handeln gegen diejenigen Personen zu richten habe, die den polizeiwidrigen Zustand unmittelbar zu verantworten haben (vgl. PIERRE TSCHANNEN UND ANDERE, Allgemeines Verwaltungsrecht, 3. Aufl. 2009, S. 523). Nach § 8 HuG ist demjenigen, der Hunde mit erhöhtem Gefährdungspotential erwerben, züchten bzw. mit solchen Hunden in den Kanton Zürich zuziehen will, dies verboten. Angesprochen ist somit der (potentielle) Halter, somit diejenige Person, welche einen allfälligen polizeiwidrigen Zustand unmittelbar zu verantworten hätte.</w:t>
      </w:r>
    </w:p>
    <w:p>
      <w:r>
        <w:rPr>
          <w:b/>
        </w:rPr>
        <w:t>E. 4.4.4</w:t>
      </w:r>
    </w:p>
    <w:p>
      <w:r>
        <w:t>Dass der Kanton Graubünden das Risiko von Hunden anders beurteilt und gestützt darauf andere rechtliche Konsequenzen BGE 136 I 1 S. 12 gezogen hat, indem er kein Verbot und keine Bewilligungspflicht eingeführt hat, ist unbeachtlich. Das Rechtsgleichheitsprinzip schliesst nicht aus, dass die einzelnen Kantone zur gleichen Materie unterschiedliche Regelungen erlassen: dies ist eine Folge der föderalistischen Staatsstruktur (vgl. etwa BGE 133 I 249 E. 3.4 S. 255; siehe auch Bericht, BBl 2009 3575 zu Art. 13). Zudem haben die Parlamentarier und der Regierungsrat des Kantons Graubünden mehrfach darauf hingewiesen, dass die Situation im Kanton Graubünden anders sei als "bei einem Kanton, der eine grosse Stadt hat oder an eine grosse Stadt unmittelbar angrenzt" (vgl. Protokoll, a.a.O., S. 115, siehe etwa auch S. 111). Der Kanton Graubünden weist gegenüber dem Kanton Zürich eine geographisch und soziokulturell andere Struktur auf, weshalb deren Beurteilung nicht notwendigerweise auch auf den Kanton Zürich passt.</w:t>
      </w:r>
    </w:p>
    <w:p>
      <w:r>
        <w:rPr>
          <w:b/>
        </w:rPr>
        <w:t>E. 5</w:t>
      </w:r>
    </w:p>
    <w:p>
      <w:r>
        <w:t>Die Beschwerdeführer rügen ferner eine Verletzung der Wirtschaftsfreiheit.</w:t>
      </w:r>
    </w:p>
    <w:p>
      <w:r>
        <w:rPr>
          <w:b/>
        </w:rPr>
        <w:t>E. 5.1</w:t>
      </w:r>
    </w:p>
    <w:p>
      <w:r>
        <w:t>Art. 27 BV gewährleistet die Wirtschaftsfreiheit. Diese umfasst insbesondere die freie Wahl des Berufes sowie den freien Zugang zu einer privatwirtschaftlichen Erwerbstätigkeit und deren freie Ausübung. Das Züchten von Hunden fällt in den Schutzbereich von Art. 27 BV . Die Wirtschaftsfreiheit gilt nicht schrankenlos, sondern sie kann, sofern es sich um Massnahmen handelt, die sich nicht gegen den Wettbewerb richten ( Art. 94 Abs. 4 BV ), gestützt auf Art. 36 BV eingeschränkt werden. Andernfalls wäre zusätzlich eine Bundesverfassungsnorm oder ein kantonales Regalrecht notwendig ( Art. 94 Abs. 4 BV ); beides trifft vorliegend nicht zu. Zu beachten ist zudem, dass die Massnahmen rechtsgleich erfolgen müssen (vgl. BGE 130 I 26 E. 4.5 mit weiteren Hinweisen S. 43).</w:t>
      </w:r>
    </w:p>
    <w:p>
      <w:r>
        <w:rPr>
          <w:b/>
        </w:rPr>
        <w:t>E. 5.2</w:t>
      </w:r>
    </w:p>
    <w:p>
      <w:r>
        <w:t>Die Beschwerdeführer machen geltend, dass es sich wegen des Verbots der Zucht um einen schwerwiegenden Eingriff handle und deshalb die gesetzliche Grundlage, welche lediglich den Begriff "Hunde mit erhöhtem Gefährdungspotenzial" verwende, ungenügend sei. Nach Art. 36 Abs. 1 Satz 2 BV müssten schwerwiegende Einschränkungen im Gesetz selbst vorgesehen sein. In jedem Fall habe das formelle Gesetz die Grundzüge der Regelung zu enthalten. Dies treffe vorliegend nicht zu, gehe doch aus der gesetzlichen Grundlage in keiner Weise hervor, nach welchen Kriterien der Regierungsrat die Gefährlichkeit einer Hunderasse zu bestimmen habe. Es läge am Gesetzgeber selbst, die verbotenen Hunderassen zu bestimmen. BGE 136 I 1 S. 13</w:t>
      </w:r>
    </w:p>
    <w:p>
      <w:r>
        <w:rPr>
          <w:b/>
        </w:rPr>
        <w:t>E. 5.3.1</w:t>
      </w:r>
    </w:p>
    <w:p>
      <w:r>
        <w:t>Verbote von Berufsausübungen sind schwerwiegende Einschränkungen (vgl. etwa BGE 130 I 26 E. 5.1. S. 43 [Nichtzulassung zur Kassenpraxis für die Dauer von drei Jahren]; Urteil 2P.198/2006 vom 9. Mai 2007 E. 2). Insoweit müssen diese im Gesetz selbst vorgesehen werden. Daneben werden aufgrund der intensiven Betroffenheit des Schutzobjektes auch höhere Anforderungen an die Normdichte gestellt (vgl. etwa MARKUS SCHEFER, Die Beeinträchtigung von Grundrechten, 2006, S. 53 f.; TSCHANNEN UND ANDERE, a.a.O., S. 143). Gemäss Art. 38 der Verfassung des Kantons Zürich vom 27. Februar 2005 (KV/ZH; SR 131.211) sind alle wichtigen Rechtssätze des kantonalen Rechts in der Form des Gesetzes zu erlassen; dafür ist der Kantonsrat zuständig (Art. 54). Weniger wichtige Rechtssätze werden in der Form der Verordnung erlassen (Art. 38 Abs. 2). Eine entsprechende Schranke für die Delegation von Rechtsetzungsbefugnissen ergibt sich aus Art. 38 Abs. 3 KV/ZH in Verbindung mit dem Bundesrecht (vgl. zu den bundesrechtlichen Anforderungen BGE 128 I 113 E. 3c S. 122 mit Hinweisen; siehe auch MATTHIAS HAUSER, in: Kommentar zur Zürcher Kantonsverfassung, Isabelle Häner und andere [Hrsg.], 2007, N. 37 ff., 40 zu Art. 38 KV/ZH ). Zu prüfen ist deshalb, ob § 8 HuG diese Anforderungen erfüllt.</w:t>
      </w:r>
    </w:p>
    <w:p>
      <w:r>
        <w:rPr>
          <w:b/>
        </w:rPr>
        <w:t>E. 5.3.2</w:t>
      </w:r>
    </w:p>
    <w:p>
      <w:r>
        <w:t>Nach § 8 Abs. 1 HuG ist u.a. die Zucht von Hunden mit erhöhtem Gefährdungspotential verboten. Nach dessen Abs. 2 bezeichnet der Regierungsrat die Rassetypen mit erhöhtem Gefährdungspotential (Rassetypenliste II). Die Beschwerdeführer scheinen bei der Bestimmung der Normdichte und der Normstufe von § 8 Abs. 1 HuG nur von dessen Wortlaut auszugehen. Dieser ist in der Tat wenig aussagekräftig. Der Normsinn ist indes nicht nur nach dem Wortlaut, sondern nach den anerkannten Auslegungsregeln zu bestimmen ( BGE 131 II 697 E. 4.1 S. 703). Aus systematischer Sicht ist zunächst hervorzuheben, dass das Hundegesetz von drei verschiedenen Arten von Rassetypen ausgeht: "normale" Rassetypen, grosse und massige Rassetypen (Rassetypen der Liste I, § 7) sowie Rassetypen mit erhöhtem Gefährdungspotenzial (Rassetypen der Liste II, § 8). Je höher die Listennummer ist, desto grösser ist das Gefährdungspotential und desto anforderungsreicher ist der Umgang mit den Tieren. Hunde der Rassetypenliste II müssen somit gefährlicher sein als grosse und massige Hunderassen. Aus der Entstehungsgeschichte wird sodann ersichtlich, welche Hunderassen welcher Liste zugeordnet werden können. So führt der Antrag des Regierungsrates vom BGE 136 I 1 S. 14 18. April 2007 15 verschiedene Hunderassen für die Rasseliste I auf (S. 21, zu § 7). Der Regierungsrat erläutert ferner, dass die Hunderassen, welche nach der - damals geltenden - Hundeverordnung einen Maulkorb tragen müssten oder an der Leine zu halten seien, einer Bewilligungspflicht zu unterstellen seien. Dies seien der American Pitbull Terrier, der American Staffordshire Terrier, der Bullterrier und der Staffordshire Bullterrier sowie Kreuzungen mit diesen Rassen. Eine Ausweitung sei nicht vorgesehen (S. 22 f.). In der parlamentarischen Beratung ging man ebenfalls nur von diesen Rassetypen aus (vgl. Protokoll des Zürcher Kantonsrats vom 3. März 2008, S. 2850, siehe auch S. 2834 f.). Diese wurden auch im Zusammenhang mit dem "Antrag auf eine Variante mit Kampfhundeverbot" (Protokoll des Zürcher Kantonsrats vom 14. April 2008, S. 3271) hervorgehoben. Schliesslich hat der Regierungsrat im beleuchtenden Bericht zur Abstimmungsvorlage festgehalten, dass es sich bei beiden Varianten um American Pitbull Terrier, American Staffordshire Terrier, Bullterrier, Staffordshire Bullterrier sowie Kreuzungen mit diesen Rassen handle. Aufgrund der Auslegung ist genügend klar ersichtlich, welche Hunde welchen Massnahmen unterliegen: American Pitbull Terrier, American Staffordshire Terrier, Bullterrier und Staffordshire Bullterrier sowie Kreuzungen mit diesen Tieren dürfen u.a. nicht gezüchtet werden; werden diese zudem unter einem anderen Namen geführt, so gilt nichts anderes (siehe dazu jetzt § 5 HuV). Aufgrund der Aussagen des Kantonsrats und des Regierungsrates sollen keine weiteren Hunderassen dieser Liste beigefügt werden. Insoweit muss deshalb zum heutigen Zeitpunkt nicht beurteilt werden, ob weitere Hunderassen in die Rassetypenliste II aufgenommen werden dürfen.</w:t>
      </w:r>
    </w:p>
    <w:p>
      <w:r>
        <w:rPr>
          <w:b/>
        </w:rPr>
        <w:t>E. 5.4.1</w:t>
      </w:r>
    </w:p>
    <w:p>
      <w:r>
        <w:t>Mit dem Verbot, Hunde einer bestimmten Rasse im Kanton Zürich zu züchten, wird das öffentliche Interesse des Schutzes der Bevölkerung verfolgt. Massnahmen, welche im öffentlichen Interesse sind, müssen verhältnismässig sein. Die Beschwerdeführer bestreiten sowohl die Eignung, die Erforderlichkeit und die Zumutbarkeit des Zuchtverbots zur Verwirklichung des Schutzes der Bevölkerung.</w:t>
      </w:r>
    </w:p>
    <w:p>
      <w:r>
        <w:rPr>
          <w:b/>
        </w:rPr>
        <w:t>E. 5.4.2</w:t>
      </w:r>
    </w:p>
    <w:p>
      <w:r>
        <w:t>Mit § 8 HuG soll der Schutz der Bevölkerung so sichergestellt werden, dass im Kanton Zürich längerfristig keine Hunde der Rassetypenliste II mehr vorkommen (vgl. Protokoll des Zürcher Kantonsrats vom 3. März 2008, S. 2876); Ausnahmen sind nur für BGE 136 I 1 S. 15 auswärtige Hunde vorgesehen, welche sich vorübergehend im Kanton Zürich aufhalten (§ 8 Abs. 3). Zu diesem Zweck ist der Erwerb von solchen Hunden verboten, was durch ein Verbot der Zucht, welche jenem zeitlich vorgelagert ist, unterstützt werden kann. Insofern ist das Zuchtverbot geeignet, das angestrebte, im öffentlichen Interesse liegende Ziel zu erreichen. Im Übrigen handelt es sich dabei um eine bewährte Regelungsstrategie, welche auch in verschiedenen anderen Bereichen zur Unterbindung des unerwünschten Handels mit bestimmten Gütern verfolgt wird (siehe etwa das Herstellungsverbot von ozonschichtabbauenden Stoffen [Ziff. 2.1 Anh. 1.4 ChemRRV; SR 814.81]).</w:t>
      </w:r>
    </w:p>
    <w:p>
      <w:r>
        <w:rPr>
          <w:b/>
        </w:rPr>
        <w:t>E. 5.4.3</w:t>
      </w:r>
    </w:p>
    <w:p>
      <w:r>
        <w:t>Das Verbot ist auch erforderlich: Mit dem Verbot des Erwerbs werden die Handänderungen zwischen dem Verkäufer bzw. Schenker und dem Erwerber erfasst. Das Zuchtverbot wäre deshalb auf den ersten Blick nicht erforderlich, denn wenn nichts erworben werden darf, wird zwangsläufig auch die professionelle Zucht für den Kanton Zürich von selbst nicht mehr rentabel sein und eingehen. Die Beschwerdeführer übersehen allerdings, dass trotz Erwerbsverbot die Hundehalter über eine lange Dauer weiterhin im Besitz von solchen Hunden sein können und damit das im öffentlichen Interesse liegende Regelungsziel unterlaufen würden. Dies trifft insbesondere dann zu, wenn sie durch eigene, unprofessionelle Zucht Hunde der verbotenen Hunderassen produzieren. Bergen bereits Hunde, welche professionell gezüchtet worden sind, ein erhöhtes Gefährdungspotential, so trifft dies bei unprofessioneller Züchtung um so mehr zu (siehe oben E. 4.3.1). Mit einer Bewilligungspflicht könnte der notwendige Schutz der Bevölkerung vor gefährlichen Hunden, welche insbesondere aus nicht professioneller Zucht stammen, nicht garantiert werden. Vielmehr kann nur mit einem Zuchtverbot diese Lücke geschlossen werden. Es steht deshalb keine mildere Massnahme zur Verfügung.</w:t>
      </w:r>
    </w:p>
    <w:p>
      <w:r>
        <w:rPr>
          <w:b/>
        </w:rPr>
        <w:t>E. 5.4.4</w:t>
      </w:r>
    </w:p>
    <w:p>
      <w:r>
        <w:t>Schliesslich ist das Zuchtverbot auch als zumutbar zu beurteilen: Zwar steht auf der einen Seite das private, wirtschaftliche Interesse, Hunde einer gewissen Rasse zu züchten. Auf der anderen Seite ist das gewichtige öffentliche Interesse am Schutz der Allgemeinheit vor gefährlichen Hunden. Angesichts deren bereits dargestellten Gefährlichkeit besteht im vorliegenden Fall ein offensichtliches Missverhältnis zwischen den privaten wirtschaftlichen Tätigkeiten und dem Schutz der Bevölkerung (vgl. BGE 133 I 249 E. 4.2 S. 257). Dabei ist auch zu berücksichtigen, dass die Einschränkung als solche BGE 136 I 1 S. 16 nicht schwer wiegt, da nur die Zucht ganz weniger Rassen verboten wird; Hundezüchtern verbleibt daher immer noch ein weites Betätigungsfeld.</w:t>
      </w:r>
    </w:p>
    <w:p>
      <w:r>
        <w:rPr>
          <w:b/>
        </w:rPr>
        <w:t>E. 5.5.1</w:t>
      </w:r>
    </w:p>
    <w:p>
      <w:r>
        <w:t>Die Beschwerdeführer rügen im Weiteren eine Verletzung der Gleichbehandlung der Konkurrenten. So stehe Beschwerdeführerin 6, welche American Staffordshire Terrier züchtet, mit den nicht unter das Verbot fallenden Hunderassen, wie etwa Schäferhunde, Sennenhunde, Dobermänner, Doggen, Rottweiler, Bernhardiner oder Hirtenhunde in einem direkten Konkurrenzverhältnis, denn diese seien mit den vom Verbot betroffenen Hunden austauschbar.</w:t>
      </w:r>
    </w:p>
    <w:p>
      <w:r>
        <w:rPr>
          <w:b/>
        </w:rPr>
        <w:t>E. 5.5.2</w:t>
      </w:r>
    </w:p>
    <w:p>
      <w:r>
        <w:t>Nach dem Grundsatz der Gleichbehandlung der Konkurrenten sind Massnahmen verboten, die den Wettbewerb unter direkten Konkurrenten verzerren bzw. nicht wettbewerbsneutral sind ( BGE 125 I 431 E. 4b/aa S. 435), namentlich wenn sie bezwecken, in den Wettbewerb einzugreifen, um einzelne Konkurrenten oder Konkurrentengruppen gegenüber anderen zu bevorzugen oder zu benachteiligen ( BGE 125 I 431 E. 4b/aa S. 435 f.). Hingegen stellen etwa polizeilich und umweltpolitisch gerechtfertigte Massnahmen im Lichte von Art. 27 BV keine Ungleichbehandlung der Konkurrenten dar, auch wenn sie dazu führen, dass die Marktteilnehmer dadurch nach Massgabe ihrer ungleichen Umweltbelastung unterschiedlich belastet werden ( BGE 125 I 182 E. 5e S. 200). So ist eine Abgabe, welche sich für verschiedene Wirtschaftssubjekte je nach der durch sie verursachten Umweltbeeinträchtigung unterschiedlich auswirkt, keine unzulässige Ungleichbehandlung, sondern sie ist gerade der legitime Zweck der Massnahme ( BGE 125 I 182 E. 5e S. 201; siehe auch KLAUS A. VALLENDER, § 222 [Wirtschaftsfreiheit], in: Handbuch der Grundrechte, Detlef Merten und andere [Hrsg.], Grundrechte in der Schweiz und Liechtenstein, Bd. VII/2, 2007, N. 34).</w:t>
      </w:r>
    </w:p>
    <w:p>
      <w:r>
        <w:rPr>
          <w:b/>
        </w:rPr>
        <w:t>E. 5.5.3</w:t>
      </w:r>
    </w:p>
    <w:p>
      <w:r>
        <w:t>Nicht anders verhält es sich hier: Der kantonalzürcherische Gesetzgeber strebt ein einheitliches Sicherheitsniveau an, welches der Bevölkerung einen genügenden Schutz vor Hunden garantiert. Er hat deshalb für alle Hunderassen Massnahmen normiert (siehe oben E. 4.3.2), welche sich an der Gefährlichkeit der Hunderassen orientieren. Je gefährlicher somit die Hunde sind, desto einschränkender sind die Massnahmen; im Extremfall soll ein Zuchtverbot gelten. Dem Gesetzgeber geht es nicht darum, einzelne Züchter gegenüber anderen zu bevorteilen, sondern darum, die Bevölkerung nach BGE 136 I 1 S. 17 Massgabe der Gefährlichkeit der Hunde zu schützen. Dass sich die Massnahmen für Züchter verschiedener Hunderassen unterschiedlich auswirken, stellt - wie dargelegt - keine unzulässige Ungleichbehandlung dar, sondern ist gerade der legitime Zweck der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