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88</w:t>
      </w:r>
    </w:p>
    <w:p>
      <w:r>
        <w:t>Bundesgericht (BGE), 2010-04-13, DE</w:t>
      </w:r>
    </w:p>
    <w:p>
      <w:r>
        <w:rPr>
          <w:b/>
        </w:rPr>
        <w:t xml:space="preserve">Quelle: </w:t>
      </w:r>
      <w:r>
        <w:t>https://mcp.opencaselaw.ch/entscheid/bge_BGE_136_IV_88</w:t>
      </w:r>
    </w:p>
    <w:p>
      <w:r>
        <w:t>FR: ATF 136 IV 88</w:t>
      </w:r>
    </w:p>
    <w:p>
      <w:r>
        <w:t>IT: DTF 136 IV 88</w:t>
      </w:r>
    </w:p>
    <w:p>
      <w:pPr>
        <w:pStyle w:val="Heading2"/>
      </w:pPr>
      <w:r>
        <w:t>Regeste</w:t>
      </w:r>
    </w:p>
    <w:p>
      <w:r>
        <w:t>Regeste Art. 5 EAUe; Art. 2 des Zweiten Zusatzprotokolls zum EAUe; Art. 50 Abs. 1, Art. 59 und 63 des Schengener Durchführungsübereinkommens; Art. 2 Ziff. 1 und Art. 15 Ziff. 1 des Schengen-Assoziierungsabkommens; Auslieferung an Deutschland wegen einer fiskalischen strafbaren Handlung. Gemäss dem Schengener Durchführungsübereinkommen ist die Schweiz in den dort genannten Fällen der indirekten Fiskalität zur Auslieferung verpflichtet (E. 3).</w:t>
      </w:r>
    </w:p>
    <w:p>
      <w:r>
        <w:t>Regeste Art. 5 CEExtr; art. 2 du deuxième protocole additionnel à la CEExtr; art. 50 al. 1, art. 59 et 63 de la Convention d'application de l'accord de Schengen; art. 2 ch. 1 et art. 15 ch. 1 de l'accord d'association à Schengen; extradition à l'Allemagne en raison d'une infraction fiscale. En vertu de la Convention d'application de l'accord de Schengen, la Suisse est tenue d'accorder l'extradition dans les cas d'impôts et taxes indirects qui y sont mentionnés (consid. 3).</w:t>
      </w:r>
    </w:p>
    <w:p>
      <w:r>
        <w:t>Regesto Art. 5 CEEstr; art. 2 del secondo protocollo addizionale alla CEEstr; art. 50 cpv. 1, art. 59 e 63 della Convenzione di applicazione dell'accordo di Schengen; art. 2 n. 1 e art. 15 n. 1 dell'accordo di associazione a Schengen; estradizione alla Germania a causa di un reato fiscale. Secondo la Convenzione di applicazione dell'accordo di Schengen, la Svizzera è tenuta ad accordare l'estradizione nei casi di fiscalità indiretta che vi sono menzionati (consid. 3).</w:t>
      </w:r>
    </w:p>
    <w:p>
      <w:pPr>
        <w:pStyle w:val="Heading2"/>
      </w:pPr>
      <w:r>
        <w:t>Erwägungen</w:t>
      </w:r>
    </w:p>
    <w:p>
      <w:r>
        <w:rPr>
          <w:b/>
        </w:rPr>
        <w:t>E. 3.1</w:t>
      </w:r>
    </w:p>
    <w:p>
      <w:r>
        <w:t>Gemäss Art. 5 des Europäischen Auslieferungsübereinkommens vom 13. Dezember 1957 (EAUe; SR 0.353.1) wird in Abgaben-, Steuer-, Zoll- und Devisenstrafsachen die Auslieferung unter den Bedingungen dieses Übereinkommens nur gewährt, wenn dies zwischen Vertragsparteien für einzelne oder Gruppen von strafbaren Handlungen dieser Art vereinbart worden ist. Eine solche Vereinbarung hat die Schweiz nicht abgeschlossen (ROBERT ZIMMERMANN, La coopération judiciaire internationale en matière pénale, 3. Aufl. 2009, S. 592 Rz. 638). Gemäss Art. 2 des Zweiten Zusatzprotokolls vom 17. März 1978 zum EAUe (SR 0.353.12; im Folgenden: 2. ZP) kann die Auslieferung bei fiskalischen strafbaren Handlungen unter den dort genannten Voraussetzungen gewährt werden. Die Schweiz hat erklärt, diese Bestimmung nicht anzunehmen (Art. 1 des Bundesbeschlusses vom 13. Dezember 1984 betreffend drei Zusatzprotokolle des Europarats [...] [AS 1985 712]). Der zwischen der Schweiz und Deutschland abgeschlossene Vertrag vom 13. November 1969 über die Ergänzung des EAUe und die Erleichterung seiner Anwendung (SR 0.353.913.61; im Folgenden: Zusatzvertrag) schweigt sich zur Frage der Auslieferung bei fiskalischen strafbaren Handlungen aus. Art. 59 ff. (Kapitel 4) des Übereinkommens vom 19. Juni 1990 zur Durchführung des Übereinkommens von Schengen vom 14. Juni 1985 (im Folgenden: Schengener Durchführungsübereinkommen, SDÜ; ABl. der EU L 239 vom 22. September 2000 S. 19-62) enthalten Bestimmungen zur Auslieferung. Gemäss Art. 59 SDÜ sollen die Bestimmungen dieses Kapitels das Europäische Auslieferungsübereinkommen ergänzen und seine Anwendung erleichtern (Abs. 1). Die zwischen den Vertragsparteien geltenden weitergehenden Bestimmungen aufgrund bilateraler Abkommen bleiben unberührt (Abs. 2). Nach Art. 63 SDÜ verpflichten sich die Vertragsparteien, BGE 136 IV 88 S. 90 nach Massgabe der in Artikel 59 erwähnten Übereinkommen die Personen auszuliefern, die durch die Justizbehörden der ersuchenden Vertragspartei im Zusammenhang mit einer strafbaren Handlung nach Artikel 50 Absatz 1 verfolgt werden oder zur Vollstreckung einer aufgrund einer solchen Handlung verhängten Strafe oder Massnahme gesucht werden. Gemäss Art. 50 Abs. 1 SDÜ verpflichten sich die Vertragsparteien, Rechtshilfe (...) zu leisten wegen Verstössen gegen die gesetzlichen Bestimmungen und Vorschriften im Bereich der Verbrauchsteuern, der Mehrwertsteuern und des Zolls. Der Beschwerdeführer stellt nicht in Abrede, dass es hier um indirekte Steuern nach Art. 50 Abs. 1 SDÜ geht. Er macht geltend, die Auslieferungspflicht nach dem SDÜ bestehe nicht, da das EAUe, das 2. ZP und der Zusatzvertrag die Auslieferung als "lex specialis" ausschlössen.</w:t>
      </w:r>
    </w:p>
    <w:p>
      <w:r>
        <w:rPr>
          <w:b/>
        </w:rPr>
        <w:t>E. 3.2</w:t>
      </w:r>
    </w:p>
    <w:p>
      <w:r>
        <w:t>Gemäss Art. 2 Ziff. 1 des Abkommens vom 26. Oktober 2004 zwischen der Schweizerischen Eidgenossenschaft, der Europäischen Union und der Europäischen Gemeinschaft über die Assoziierung dieses Staates bei der Umsetzung, Anwendung und Entwicklung des Schengen-Besitzstands (SR 0.362.31; im Folgenden: Schengen-Assoziierungsabkommen, SAA) werden die in Anhang A aufgeführten Bestimmungen des Schengen-Besitzstands, die für die Mitgliedstaaten der Europäischen Union gelten, von der Schweiz umgesetzt und angewendet. In Teil 1 von Anhang A sind grundsätzlich alle Bestimmungen des SDÜ aufgeführt. Ausgenommen sind im Einzelnen genannte Artikel des SDÜ. Dazu gehören Art. 59, Art. 63 und Art. 50 Abs. 1 nicht. Gemäss Art. 15 Ziff. 1 SAA werden die unter anderem in Anhang A genannten Bestimmungen für die Schweiz zu dem Zeitpunkt in Kraft gesetzt, der vom Rat durch einstimmigen Beschluss seiner Mitglieder, die die Regierungen der Mitgliedstaaten vertreten, die alle in den Anhängen A und B genannten Bestimmungen anwenden, im Anschluss an Konsultationen im Gemischten Ausschuss festgesetzt wird, nachdem er sich davon überzeugt hat, dass die Voraussetzungen für die Umsetzung der einschlägigen Bestimmungen von der Schweiz erfüllt sind und dass an den Aussengrenzen effiziente Kontrollen stattfinden. Am 27. November 2008 hat der Rat der Europäischen Union beschlossen, dass alle Bestimmungen, die in den Anhängen A und B des Schengen-Assoziierungsabkommens enthalten sind, für die BGE 136 IV 88 S. 91 Schweiz in ihren Beziehungen unter anderem zu Deutschland mit Wirkung ab 12. Dezember 2008 gelten (ABl. L 327 vom 5. Dezember 2008 S. 15-17). Die Schweiz ist somit gemäss Art. 63 i.V.m. Art. 50 Abs. 1 SDÜ zur Auslieferung in den dort genannten Fällen der indirekten Fiskalität verpflichtet (STEPHAN BREITENMOSER, Neuerungen in der internationalen Rechtshilfe in Strafsachen, in: Aktuelle Fragen der internationalen Amts- und Rechtshilfe, Breitenmoser/Ehrenzeller [Hrsg.], 2009, S. 32; URS BEHNISCH, Aktuelle Entwicklungen in der Amts- und Rechtshilfe im Steuerbereich, in: Aktuelle Fragen der internationalen Amts- und Rechtshilfe, Breitenmoser/Ehrenzeller [Hrsg.], 2009, S. 265; RUDOLF WYSS, Strafrechtshilfe - wie weiter?, in: Festschrift für Heinrich Koller, 2006, S. 304 f.; HANSPETER PFENNINGER, Internationale Rechtshilfe in Strafsachen, in: Bilaterale Abkommen II Schweiz-EU, Kaddous/Jametti Greiner [Hrsg.], 2006, S. 353 f.). Wie gesagt, sollen gemäss Art. 59 Abs. 1 SDÜ die Bestimmungen dieses Übereinkommens über die Auslieferung (Art. 59 ff.) das EAUe ergänzen und seine Anwendung erleichtern. Die Bestimmungen des SDÜ gehen deshalb, sofern sie - wie hier - eine Frage ausdrücklich regeln, als "lex specialis" und "lex posterior" vor (BREITENMOSER, a.a.O., S. 31; PFENNINGER, a.a.O., S. 353). Die Beschwerde ist in diesem Punkt daher unbegründet.</w:t>
      </w:r>
    </w:p>
    <w:p>
      <w:r>
        <w:rPr>
          <w:b/>
        </w:rPr>
        <w:t>E. 3.3</w:t>
      </w:r>
    </w:p>
    <w:p>
      <w:r>
        <w:t>Gemäss Art. 63 SDÜ verpflichten sich die Vertragsparteien zur Auslieferung nach Massgabe der in Artikel 59 erwähnten Übereinkommen, also insbesondere des EAUe. Nach Art. 2 Ziff. 1 EAUe wird ausgeliefert wegen Handlungen, die sowohl nach dem Recht des ersuchenden als auch nach dem des ersuchten Staates mit einer Freiheitsstrafe (...) im Höchstmass von mindestens einem Jahr oder mit einer schwereren Strafe bedroht sind. Die dem Beschwerdeführer zur Last gelegten Handlungen stellen nach schweizerischem Recht unstreitig einen Abgabebetrug nach Art. 14 Abs. 2 VStrR (SR 313.0) dar. Dafür droht das Gesetz Gefängnis bis zu einem Jahr an. Die Auslieferungsvoraussetzung nach Art. 2 Ziff. 1 EAUe ist damit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