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55</w:t>
      </w:r>
    </w:p>
    <w:p>
      <w:r>
        <w:t>Bundesgericht (BGE), 2010-03-08, DE</w:t>
      </w:r>
    </w:p>
    <w:p>
      <w:r>
        <w:rPr>
          <w:b/>
        </w:rPr>
        <w:t xml:space="preserve">Quelle: </w:t>
      </w:r>
      <w:r>
        <w:t>https://mcp.opencaselaw.ch/entscheid/bge_BGE_136_IV_55</w:t>
      </w:r>
    </w:p>
    <w:p>
      <w:r>
        <w:t>FR: ATF 136 IV 55</w:t>
      </w:r>
    </w:p>
    <w:p>
      <w:r>
        <w:t>IT: DTF 136 IV 55</w:t>
      </w:r>
    </w:p>
    <w:p>
      <w:pPr>
        <w:pStyle w:val="Heading2"/>
      </w:pPr>
      <w:r>
        <w:t>Regeste</w:t>
      </w:r>
    </w:p>
    <w:p>
      <w:r>
        <w:t>Regeste Art. 19 Abs. 2, Art. 47 und 50 StGB; Strafzumessung bei verminderter Schuldfähigkeit; Begründungspflicht. Ausgehend von der objektiven Tatschwere hat der Richter das (subjektive) Tatverschulden zu bewerten. Dabei hat er (auch) die verminderte Schuldfähigkeit zu berücksichtigen. Er muss dartun, in welchem Umfange sich diese verschuldensmindernd auswirkt (E. 5.5 und 5.6). Die Gesamteinschätzung des Tatverschuldens ist im Urteil zu benennen, damit überprüft werden kann, ob die daraus resultierende (hypothetische) Strafe angemessen ist und mit der durch den gesetzlichen Strafrahmen zum Ausdruck gebrachten Abstufung des Unrechtsgehaltes übereinstimmt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t>Regeste Art. 19 al. 2, art. 47 et 50 CP; fixation de la peine en cas de responsabilité restreinte; obligation de motiver. Le juge doit apprécier la culpabilité (subjective) de l'auteur à partir de la gravité objective de l'acte. Dans le cadre de cette appréciation, il doit (aussi) tenir compte de la diminution de responsabilité de l'auteur. Il doit indiquer dans quelle mesure celle-ci exerce un effet atténuant sur la culpabilité (consid. 5.5 et 5.6). L'appréciation d'ensemble de la culpabilité doit être exposée dans le jugement, de manière que l'on puisse contrôler si la peine (hypothétique) qui en résulte est adéquate et si elle correspond au degré du caractère répréhensible de l'acte déterminé par le cadre légal (consid. 5.7). La peine adaptée à l'acte et à l'auteur pour une seule infraction doit en principe être fixée à l'intérieur du cadre légal ordinaire.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 elle seule, une diminution de la responsabilité ne conduit donc en principe pas à fixer la peine en dessous du cadre légal ordinaire. Il faut, en outre, qu'il existe des circonstances pertinentes, qui font apparaître la culpabilité de l'auteur comme particulièrement légère (consid. 5.8).</w:t>
      </w:r>
    </w:p>
    <w:p>
      <w:r>
        <w:t>Regesto Art. 19 cpv. 2, art. 47 e 50 CP; commisurazione della pena in caso di scemata imputabilità; obbligo di motivazione. Il giudice deve valutare la colpa (soggettiva) dell'autore partendo dalla gravità oggettiva dell'atto. Nell'ambito di questa valutazione deve considerare (pure) la scemata imputabilità. Deve spiegare in che misura quest'ultima attenua la colpa (consid. 5.5 e 5.6). La valutazione complessiva della colpa dev'essere esposta nella sentenza, cosicché sia possibile esaminare se la (ipotetica) pena che ne risulta sia adeguata e corrisponda al grado del carattere riprensibile dell'atto definito dal quadro edittale (consid. 5.7). Di regola una pena adeguata all'atto e all'autore per un'unica infrazione dev'essere fissata nei limiti del quadro edittale. Può fuoriuscirne solo in presenza di circostanze eccezionali e ove la pena comminata per il reato in questione appaia, nel caso concreto, troppo severa o troppo mite. Una pena inferiore al quadro edittale ordinario può entrare in considerazione quando concorrono elementi di attenuazione della colpa rispettivamente della pena che relativizzano di molto un rimprovero in sé oggettivamente lieve di modo che la pena fissata entro i limiti ordinari urterebbe il senso di giustizia. Di regola la scemata imputabilità da sola non conduce perciò a un abbassamento del quadro edittale ordinario della pena. Per questo occorre inoltre che circostanze rilevanti facciano apparire la colpa dell'autore come particolarmente lieve (consid. 5.8).</w:t>
      </w:r>
    </w:p>
    <w:p>
      <w:pPr>
        <w:pStyle w:val="Heading2"/>
      </w:pPr>
      <w:r>
        <w:t>Erwägungen</w:t>
      </w:r>
    </w:p>
    <w:p>
      <w:r>
        <w:rPr>
          <w:b/>
        </w:rPr>
        <w:t>E. 5.1</w:t>
      </w:r>
    </w:p>
    <w:p>
      <w:r>
        <w:t>Die Beschwerdeführerin rügt, die Vorinstanz gewichte die verminderte Schuldfähigkeit in ermessensüberschreitender Weise strafmindernd. Die Beschwerdegegnerin leide nicht an einer Persönlichkeitsstörung. Die Abhängigkeitsproblematik gegenüber dem Mitangeklagten sei eine persönlichkeitsakzentuierte Eigenschaft, welche nicht einer psychischen Störung krankhafter Natur gleichzusetzen sei. Bei der Einschätzung der mittelgradig verminderten Steuerungsfähigkeit handle es sich um eine grobe Schätzung des Gutachters. Aus einer derart unsicheren, mathematisch ungenauen Einschätzung dürfe keine mathematisch präzise Strafreduktion ("rund um die Hälfte") erfolgen. Angesichts des objektiven Tatverschuldens sei die ausgefällte Strafe von 6 Jahren weitaus zu mild.</w:t>
      </w:r>
    </w:p>
    <w:p>
      <w:r>
        <w:rPr>
          <w:b/>
        </w:rPr>
        <w:t>E. 5.2</w:t>
      </w:r>
    </w:p>
    <w:p>
      <w:r>
        <w:t>Die Vorinstanz hält unter Hinweis auf die Feststellungen des psychiatrischen Sachverständigen im Gutachten vom 15. September 2004 und anlässlich der Hauptverhandlung fest, bei der Beschwerdegegnerin liege eine Abhängigkeitsproblematik vor, die aus ihrer Kindheit herrühre. Sie könne im Sinne eines Schutzmechanismus negative, traumatische Erfahrungen ausblenden. Sie und Y. seien gegenseitig voneinander abhängig gewesen. Auf der einen Seite habe er ein Bedürfnis nach Kontrolle und Dominanz in der Beziehungssituation gehabt. Auf der anderen Seite habe sie sich stark an ihn angelehnt. Die Tochter habe die Exklusivität der Paarbeziehung gesprengt. Es sei bereits während der Schwangerschaft zu tätlichen Übergriffen des Mitangeklagten gekommen. Resultat dieser Drucksituation sei gewesen, dass sich das Paar gegen aussen immer mehr abgeschottet habe. Die Dependenzstörung der Beschwerdegegnerin sei noch nicht als Persönlichkeitsstörung zu diagnostizieren, weil die Problematik nicht in allen Lebensbereichen zum Vorschein komme. Es handle sich um eine akzentuierte Eigenschaft. Die Problematik habe die Beschwerdegegnerin in ihrer Fähigkeit eingeschränkt, sich anders zu verhalten. Die Einsichtsfähigkeit sei aber vorhanden gewesen. Im Ergebnis läge gemäss dem Gutachter eine mittlere Verminderung der Schuldfähigkeit vor. Dies sei innerhalb des ordentlichen Strafrahmens nach Art. 19 Abs. 2 StGB strafmindernd zu berücksichtigen. Die Strafe sei um rund die Hälfte zu reduzieren.</w:t>
      </w:r>
    </w:p>
    <w:p>
      <w:r>
        <w:rPr>
          <w:b/>
        </w:rPr>
        <w:t>E. 5.3</w:t>
      </w:r>
    </w:p>
    <w:p>
      <w:r>
        <w:t>Ist der Täter zur Zeit der Tat vermindert zurechnungsfähig (schuldfähig), so ist die Strafe gemäss dem Wortlaut des Gesetzes BGE 136 IV 55 S. 58 zu mildern (aArt. 11 bzw. Art. 19 Abs. 2 StGB ). Nach der bisherigen Rechtsprechung ist dabei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bestimmter Täterkomponenten von Bedeutung sein. Der Verminderung der Schuldfähigkeit ist bei der Strafzumessung im vollen Ausmass der Verminderung Rechnung zu tragen. Das Bundesgericht hat mehrfach entschieden, dass dabei keine lineare Reduktion nach einem bestimmten Tarif vorzunehmen ist ( BGE 129 IV 22 E. 6.2 S. 35; BGE 123 IV 49 E. 2c S. 51; je mit Hinweis). Eine leichte, mittelgradige oder schwere Herabsetzung der Zurechnungsfähigkeit führe daher nicht zwingend zu einer rein mathematischen Reduktion der Strafe um 25, 50 oder 75 %. Indessen müsse ein bestimmtes Verhältnis zwischen der festgestellten Verminderung der Zurechnungsfähigkeit und den Folgen für die Strafe bestehen ( BGE 129 IV 22 E. 6.2 S. 35). Diese Rechtsprechung wird in der Lehre teilweise so interpretiert, dass eine besondere Begründung erforderlich sei, sofern die verminderte Schuldfähigkeit nicht linear berücksichtigt werde (so etwa SCHWARZENEGGER/HUG/JOSITSCH, Strafen und Massnahmen, 8. Aufl. 2007, S. 97; HUG, in: StGB Schweizerisches Strafgesetzbuch [...], 17. Aufl. 2006, zu Art. 48a StGB ). Auch das Bundesgericht hat in einzelnen Entscheiden die eigene Rechtsprechung relativiert und den Eindruck vermittelt, es müsse von der Regel einer linearen Reduktion ausgegangen werden (vgl. etwa Urteil 6S.547/2006 vom 1. Februar 2007 E. 4.3). In BGE 118 IV 1 wurde festgehalten, die Strafe sei entsprechend dem Grad der Verminderung herabzusetzen. Bei einer verminderten Zurechnungsfähigkeit in mittlerem Grad sei die Strafe, die für die gleiche Tat eines voll Zurechnungsfähigen ausgesprochen würde, in mittlerem Ausmass zu reduzieren (a.a.O. E. 2 S. 5 mit Hinweisen). In einem solchen Fall dürfe die Strafe nicht lediglich um 40 % herabgesetzt werden ( BGE 129 IV 22 E. 6.2 S. 36). In einem neuen Entscheid hat das Bundesgericht befunden, dass es bei einer schweren Verminderung der Schuldfähigkeit nicht gegen Bundesrecht verstosse, die aus den Tatkomponenten resultierende Einsatzstrafe um 75 % zu ermässigen. Eine Reduktion exakt in diesem Umfang sei aber bundesrechtlich nicht zwingend. Der Richter könne in Ausübung seines Ermessens die aus den Tatkomponenten resultierende Einsatzstrafe auch um etwas weniger herabsetzen, soweit BGE 136 IV 55 S. 59 diese Reduktion noch im gewissen Rahmen dessen liege, was geboten ist, um einer schweren Verminderung der Schuldfähigkeit im vollen Ausmass der Verminderung Rechnung zu tragen. Eine diesen Rahmen unterschreitende Reduktion der aus den Tatkomponenten resultierenden Einsatzstrafe sei nur zulässig, wenn besondere Umstände dafür sprechen, die in der Urteilsbegründung darzulegen seien ( BGE 134 IV 132 E. 6.6 S. 139).</w:t>
      </w:r>
    </w:p>
    <w:p>
      <w:r>
        <w:rPr>
          <w:b/>
        </w:rPr>
        <w:t>E. 5.4</w:t>
      </w:r>
    </w:p>
    <w:p>
      <w:r>
        <w:t>Gemäss aArt. 63 StGB hat der Richter die Strafe nach dem Verschulden des Täters zu bemessen, wobei die Beweggründe, das Vorleben und die persönlichen Verhältnisse des Schuldigen zu berücksichtigen sind. Der am 1. Januar 2007 in Kraft getretene neue Allgemeine Teil des Strafgesetzbuches hat die bisherigen Strafzumessungsgrundsätze in Art. 47 Abs. 1 StGB beibehalten.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 BGE 134 IV 17 E. 2.1 S. 19). Sowohl nach altem wie nach neuem Recht kommt somit dem (subjektiven) Tatverschulden bei der Strafzumessung eine entscheidende Rolle zu.</w:t>
      </w:r>
    </w:p>
    <w:p>
      <w:r>
        <w:rPr>
          <w:b/>
        </w:rPr>
        <w:t>E. 5.5</w:t>
      </w:r>
    </w:p>
    <w:p>
      <w:r>
        <w:t>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Der Gesetzgeber hat einzelne Kriterien aufgeführt, welche für die Verschuldenseinschätzung von wesentlicher Bedeutung sind und allenfalls bewirken können, das Verschulden als derart gering einzustufen, dass eine Strafe unterhalb des ordentlichen Strafrahmens geboten ist (E. 5.6 und 5.8 nachfolgend). In diesem Sinne spricht auch Art. 19 StGB (aArt. 11 StGB) davon, die Strafe sei bei verminderter Schuldfähigkeit (Zurechnungsfähigkeit) zu mildern. Dabei geht es zunächst entgegen dem Wortlaut des Gesetzes und in Änderung der bisherigen Rechtsprechung (vgl. BGE 134 IV 132 E. 6.1 S. 136 f.) nicht um die Herabsetzung einer Strafe, sondern um die Reduktion des Verschuldens. Der Schuldvorwurf, der einem nur vermindert schuldfähigen Täter gemacht werden kann, ist verglichen mit einem voll schuldfähigen Täter geringer (BGE 118 BGE 136 IV 55 S. 60 IV 1 E. 2 S. 4). Das Schuldprinzip verlangt deshalb, dass die Strafe für eine in verminderter Schuldfähigkeit begangene Tat niedriger sein muss, als wenn der Täter - unter sonst gleichen Umständen - voll schuldfähig gewesen wäre. Die mildere Strafe ergibt sich aus dem leichteren Verschulden (Urteil 6B_585/2008 vom 19. Juni 2009 E. 3.5). Wenn das Gesetz in einem verschuldensrelevanten Zusammenhang von Strafmilderung bzw. Strafminderung spricht, so bedeutet dies, dass die Strafe aufgrund des geringeren Verschuldens tiefer auszufallen hat, als wenn keiner dieser Gründe vorläge.</w:t>
      </w:r>
    </w:p>
    <w:p>
      <w:r>
        <w:rPr>
          <w:b/>
        </w:rPr>
        <w:t>E. 5.6</w:t>
      </w:r>
    </w:p>
    <w:p>
      <w:r>
        <w:t>Bei der Frage, in welchem Umfang die Einschränkung der Schuldfähigkeit die Verschuldensbewertung beeinflusst, gilt es vor Augen zu halten, dass die verminderte Schuldfähigkeit im Sinne von Art. 19 Abs. 2 StGB (bzw. aArt. 11 StGB) eines von mehreren Kriterien sein kann, wenn auch - je nach Grad der Verminderung - von wesentlichem Gewicht. So trifft etwa denjenigen ein geringerer Schuldvorwurf, dem lediglich eventualvorsätzliches Handeln anzulasten ist ( Art. 12 Abs. 2 StGB ; vgl. Urteil 6S.233/2003 vom 4. November 2003 E. 4.3 mit Hinweis). Das StGB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 Art. 48 lit. a StGB ). Im gleichen Sinne ist von einem minderen Verschulden auszugehen, wenn der Täter durch das Verhalten der verletzten Person ernsthaft in Versuchung geführt worden ist (Art. 48 lit. b), wenn er in einer heftigen Gemütsbewegung oder unter grosser seelischer Belastung ( Art. 48 lit. c StGB ) gehandelt hat. Ein reduziertes Verschulden trifft auch denjenigen, der die Tat durch Unterlassung begeht ( Art. 11 Abs. 4 StGB ). Zu nennen sind schliesslich die entschuldbare Notwehr ( Art. 16 Abs. 1 StGB ) und der entschuldbare Notstand ( Art. 18 Abs. 1 StGB ), der vermeidbare Irrtum über die Rechtswidrigkeit ( Art. 21 StGB ), der Rücktritt ( Art. 23 Abs. 1 StGB ) und die Gehilfenschaft ( Art. 25 StGB ).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(so auch VENZLAFF/FOERSTER, Psychiatrische Begutachtung, 3. Aufl. 2000, S. 25 mit Hinweis auf BGE 136 IV 55 S. 61 BGHSt 7, 28 [31]). Zu erwähnen ist beispielsweise ein verwerfliches Motiv.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mit Hinweisen). Das Gericht ist nicht gehalten, in Zahlen oder Prozenten anzugeben, wie es die einzelnen Strafzumessungskriterien berücksichtigt ( BGE 127 IV 101 E. 2c S. 104 f. mit Hinweisen). Bereits von daher ist es abzulehnen, bei der Verminderung der Schuldfähigkeit einen genauen Raster etwa von 75 %, 50 % und 25 % oder eine lineare Abstufung zu verlangen (was bereits in BGE 76 IV 34 E. 2 S. 38 als "offensichtlich verfehlt" bezeichnet wurde). Andernfalls wäre der Richter gehalten, eine vom psychiatrischen Gutachter vorgegebene grobe Einschätzung willkürlich einzuengen. Der Nachweis und die Einstufung der verminderten Schuldfähigkeit lassen sich nicht mit exakten naturwissenschaftlichen Methoden objektivieren. Die forensische Psychiatrie ist nicht in der Lage, ein mathematisch exaktes Messsystem anzubieten, weshalb sich in der Praxis eine pragmatische Dreiteilung (leichte, mittlere oder schwere Verminderung) eingespielt hat. Wenn der Gutachter den Grad der Verminderung beurteilt, so macht er von einem grossen und auch subjektiven Ermessen Gebrauch. Er gelangt zur konkreten Einstufung der verminderten Einsichts- und Steuerungsfähigkeit, indem er die forensisch relevanten Auswirkungen einer konkreten Störung mit anderen vorkommenden Schweregraden vergleicht (BOMMER/DITTMANN, in: Basler Kommentar, Strafrecht, Bd. I, 2. Aufl. 2007, N. 73 zu Art. 19 StGB ). Zu Recht wird in der Literatur darauf hingewiesen, dass es sich dabei um einen Ausgangspunkt handeln muss, der für die Strafzumessung aufgrund der Besonderheiten des Falles zu verfeinern ist (a.a.O.). Damit wird zum Ausdruck gebracht, dass der Richter ein psychiatrisches Gutachten rechtlich zu würdigen hat. Er ist diesbezüglich grundsätzlich frei und nicht an die Schlussfolgerungen des Gutachtens gebunden (vgl. BGE 129 I 49 E. 4 S. 57 zu Glaubhaftigkeitsgutachten; BGE 113 IV 1 E. 3 S. 4 zu Gutachten über die Schuldfähigkeit). Insbesondere hat er auch die Ursache einer verminderten Schuldfähigkeit zu gewichten. BGE 136 IV 55 S. 62 Der einer psychiatrischen Einschätzung zugrunde liegende Ermessensspielraum kommt auch dem Richter zu, wenn er zu entscheiden hat, wie sich die festgestellte Einschränkung der Schuldfähigkeit unter Würdigung aller Umstände auf die (subjektive) Verschuldensbewertung auswirkt. Es ist naheliegend, dabei das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Mit einem solchen Vorgehen wird der Verminderung der Schuldfähigkeit im ganzen Ausmass Rechnung getragen, wie es von der Rechtsprechung gefordert wird, ohne diesem Umstand eine zu weit gehende Bedeutung zukommen zu lassen. Eine rein mathematische Reduktion einer (hypothetischen) Einsatzstrafe, wie nach bisheriger Rechtsprechung als zulässig erachtet, ist systemwidrig. Sie schränkt die Ermessensfreiheit des Richters in unzulässiger Weise ein und ist abzulehnen. Sie führt im Übrigen auch dazu, dass der vom psychiatrischen Experten eingestuften Verminderung der Einsichts- bzw. Steuerungsfähigkeit regelmässig ein zu grosses Gewicht beigemessen wird.</w:t>
      </w:r>
    </w:p>
    <w:p>
      <w:r>
        <w:rPr>
          <w:b/>
        </w:rPr>
        <w:t>E. 5.7</w:t>
      </w:r>
    </w:p>
    <w:p>
      <w:r>
        <w:t>Liegt eine Verminderung der Schuldfähigkeit vor, hat der Richter im Sinne einer nachvollziehbaren Strafzumessung somit, in Abänderung der bisherigen Rechtsprechung (vgl. BGE 134 IV 132 ), wie folgt vorzugehen: In einem ersten Schritt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eines allfälligen blossen Versuchs im Sinne von Art. 22 Abs. 1 StGB ) verändert BGE 136 IV 55 S. 63 werden (Urteil 6B_585/2008 vom 19. Juni 2009 E. 3.5 mit Hinweis auf BGE 134 IV 132 E. 6.1 S. 135).</w:t>
      </w:r>
    </w:p>
    <w:p>
      <w:r>
        <w:rPr>
          <w:b/>
        </w:rPr>
        <w:t>E. 5.8</w:t>
      </w:r>
    </w:p>
    <w:p>
      <w:r>
        <w:t>Die tat- und täterangemessene Strafe ist grundsätzlich innerhalb des ordentlichen Strafrahmens der (schwersten) anzuwendenden Strafbestimmung festzusetzen (SCHWARZENEGGER/HUG/JOSITSCH, a.a.O., S. 74).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(Urteil 6S.73/2006 vom 5. Februar 2007 E. 3.2). Zwar ist auch in der bundesgerichtlichen Rechtsprechung darauf hingewiesen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a.a.O.).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 berücksichtigen. Die verminderte Schuldfähigkeit allein führt deshalb grundsätzlich nicht dazu, den ordentlichen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 BGE 136 IV 55 S. 64</w:t>
      </w:r>
    </w:p>
    <w:p>
      <w:r>
        <w:rPr>
          <w:b/>
        </w:rPr>
        <w:t>E. 5.9</w:t>
      </w:r>
    </w:p>
    <w:p>
      <w:r>
        <w:t>Im vorliegenden Fall stuft die Vorinstanz das objektive Verschulden der Beschwerdegegnerin als sehr schwer ein, weshalb sie eine Einsatzstrafe von 16 Jahren annimmt. Dies ist angesichts des ordentlichen Strafrahmens von fünf bis zwanzig Jahren nicht zu beanstanden. Geht man von den Feststellungen des psychiatrischen Experten aus und billigt man der Beschwerdegegnerin eine Verminderung der Schuldfähigkeit in mittlerem Masse zu, so trifft sie subjektiv ein zumindest mittelschweres Verschulden. Zu Recht weist die Vorinstanz darauf hin, der Beschwerdegegnerin sei ein egoistisches Motiv anzulasten, weil sie es vorzog, die Beziehung zum Mitangeklagten aufrechtzuerhalten, anstatt ihre wehrlose Tochter zu beschützen. Dass sie dabei die schweren Folgen für das Kind nur in Kauf nahm und nicht direkt wollte, vermag sie nicht wesentlich zu entlasten. Der Säugling war ihr völlig ausgeliefert. Betroffen war ihr eigenes Kind, was eine besondere Verantwortung begründete. Im vorinstanzlichen Urteil wird zutreffend festgehalten, die Beschwerdeführerin habe in schwerer Weise gegen ihre Fürsorge- und Betreuungspflichten als Mutter verstossen. Die Vorinstanz selbst erachtet das Verschulden insgesamt als erheblich. Wenn sie - auch unter Berücksichtigung der günstigen Täterkomponenten (tadelloses Verhalten im Strafverfahren, Teilgeständnis, zu langes Verfahren u.a.) - eine Strafe von lediglich 6 Jahren festsetzt, ist dies nicht mehr vertretbar. Eine solche Sanktion am untersten Rand des ordentlichen Strafrahmens weist auf ein leichtes Verschulden hin, wovon wie dargetan nicht auszugehen ist. Die Vorinstanz verletzt deshalb Bundesrecht, weshalb die Beschwerde gutzuheissen ist. Das Urteil der Vorinstanz ist aufzuheben und die Sache zu neuer Festsetzung der Strafe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