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44</w:t>
      </w:r>
    </w:p>
    <w:p>
      <w:r>
        <w:t>Bundesgericht (BGE), 2009-12-21, DE</w:t>
      </w:r>
    </w:p>
    <w:p>
      <w:r>
        <w:rPr>
          <w:b/>
        </w:rPr>
        <w:t xml:space="preserve">Quelle: </w:t>
      </w:r>
      <w:r>
        <w:t>https://mcp.opencaselaw.ch/entscheid/bge_BGE_136_IV_44</w:t>
      </w:r>
    </w:p>
    <w:p>
      <w:r>
        <w:t>FR: ATF 136 IV 44</w:t>
      </w:r>
    </w:p>
    <w:p>
      <w:r>
        <w:t>IT: DTF 136 IV 44</w:t>
      </w:r>
    </w:p>
    <w:p>
      <w:pPr>
        <w:pStyle w:val="Heading2"/>
      </w:pPr>
      <w:r>
        <w:t>Regeste</w:t>
      </w:r>
    </w:p>
    <w:p>
      <w:r>
        <w:t>Regeste Art. 120 BGG, Art. 104 ff. IRSG, Art. 342 StGB, Art. 29 Abs. 2 BV; Vollzug eines ausländischen Strafurteils in der Schweiz; Verfügung des Bundes; öffentlich-rechtliche Streitigkeit zwischen Kantonen. Das Bundesamt für Justiz verfügt nach Rücksprache mit dem betroffenen Kanton über die Übernahme des Strafvollzugs durch die Schweiz und durch den bestimmten Kanton (E. 1.2). Gegen die Verfügung des Bundesamts über die kantonale Zuständigkeit ist die Beschwerde des verpflichteten Kantons an das Bundesgericht im Sinne von Art. 120 Abs. 2 BGG zulässig, bevor das Exequaturverfahren nach Art. 105 f. IRSG durchgeführt wird (E. 1.3 und 1.4).</w:t>
      </w:r>
    </w:p>
    <w:p>
      <w:r>
        <w:t>Regeste Art. 120 LTF, art. 104 ss EIMP, art. 342 CP, art. 29 al. 2 Cst.; exécution en Suisse d'un jugement pénal rendu à l'étranger; décision de l'autorité fédérale; contestation de droit public entre cantons. L'Office fédéral de la justice décide, après consultation du canton concerné, sur l'acceptation de l'exécution de la peine par la Suisse et par le canton désigné (consid. 1.2). Ce dernier peut former auprès du Tribunal fédéral un recours au sens de l'art. 120 al. 2 LTF contre la décision de l'Office fédéral sur la compétence cantonale, avant la procédure d'exequatur selon l'art. 105 s. EIMP (consid. 1.3 et 1.4).</w:t>
      </w:r>
    </w:p>
    <w:p>
      <w:r>
        <w:t>Regesto Art. 120 LTF, art. 104 segg. AIMP, art. 342 CP, art. 29 cpv. 2 Cost.; esecuzione di una sentenza penale straniera in Svizzera; decisione dell'autorità federale; controversia di diritto pubblico tra Cantoni. L'Ufficio federale di giustizia decide, dopo aver conferito con il Cantone interessato, sull'accettazione dell'esecuzione da parte della Svizzera e del Cantone designato (consid. 1.2). Avverso la decisione dell'Ufficio federale sulla competenza cantonale, il ricorso ai sensi dell'art. 120 cpv. 2 LTF al Tribunale federale da parte del Cantone interessato è ammissibile prima che sia effettuata la procedura d'exequatur secondo l'art. 105 seg. AIMP (consid. 1.3. e 1.4).</w:t>
      </w:r>
    </w:p>
    <w:p>
      <w:pPr>
        <w:pStyle w:val="Heading2"/>
      </w:pPr>
      <w:r>
        <w:t>Erwägungen</w:t>
      </w:r>
    </w:p>
    <w:p>
      <w:r>
        <w:rPr>
          <w:b/>
        </w:rPr>
        <w:t>E. 1</w:t>
      </w:r>
    </w:p>
    <w:p>
      <w:r>
        <w:t>Das Bundesgericht prüft seine Zuständigkeit von Amtes wegen und mit freier Kognition ( Art. 29 Abs. 1 BGG ).</w:t>
      </w:r>
    </w:p>
    <w:p>
      <w:r>
        <w:rPr>
          <w:b/>
        </w:rPr>
        <w:t>E. 1.1</w:t>
      </w:r>
    </w:p>
    <w:p>
      <w:r>
        <w:t>Gemäss Art. 120 Abs. 1 lit. b BGG beurteilt das Bundesgericht auf Klage als einzige Instanz unter anderem öffentlich-rechtliche Streitigkeiten zwischen Kantonen. Nach Art. 120 Abs. 2 BGG ist die Klage jedoch unzulässig, wenn ein anderes Bundesgesetz eine Behörde zum Erlass einer Verfügung über solche Streitigkeiten ermächtigt. Gegen die Verfügung ist letztinstanzlich die Beschwerde an das Bundesgericht zulässig.</w:t>
      </w:r>
    </w:p>
    <w:p>
      <w:r>
        <w:rPr>
          <w:b/>
        </w:rPr>
        <w:t>E. 1.2</w:t>
      </w:r>
    </w:p>
    <w:p>
      <w:r>
        <w:t>Nach Art. 104 Abs. 1 IRSG entscheidet das Bundesamt nach Rücksprache mit der Vollzugsbehörde über die Annahme des BGE 136 IV 44 S. 47 ausländischen Ersuchens. Nimmt es dieses an, so übermittelt es die Akten und seinen Antrag der Vollzugsbehörde und verständigt den ersuchenden Staat. Es kann die Übernahme des Strafvollzugs in sinngemässer Anwendung von Art. 91 Abs. 4 IRSG ablehnen. Nach dem klaren Wortlaut von Art. 104 Abs. 1 IRSG entscheidet das Bundesamt verbindlich über die Übernahme des Strafvollzugs durch die Schweiz und durch den bestimmten Kanton. Die kantonale Zuständigkeit ist nach den Regeln von Art. 342 StGB festzulegen (vgl. Art. 105 IRSG i.V.m. Art. 342 StGB in der Fassung des dritten Buchs StGB vom 13. Dezember 2002, in Kraft seit 1. Januar 2007 [AS 20063459, 3535]). Danach sind für Straftaten, die im Ausland begangenwurden, die Behörden des Wohnorts des Täters zuständig. Fehlt ein Wohnort in der Schweiz, so sind die Behörden des Heimatorts zuständig ( Art. 342 Abs. 1 StGB ). Vor seinem Entscheid hat das Bundesamt mit dem von ihm als zuständig erachteten Vollzugskanton Rücksprache zu nehmen. Diese Rücksprache dient im Wesentlichen der Wahrung des rechtlichen Gehörs gegenüber dem Vollzugskanton vor Erlass der Verfügung über die Übernahme des Strafvollzugs ( Art. 29 Abs. 2 BV ). Hält sich ein angefragter Kanton für nicht zuständig, so ist je nach den konkreten Umständen noch mit einem oder mehreren anderen Kantonen Rücksprache zu nehmen (z.B. bei mehreren Heimatkantonen). Nach erfolgter Rücksprache hat das Bundesamt über das Übernahmegesuch betreffend den Strafvollzug eine Verfügung zu treffen. Stimmt es der Übernahme zu, so bestimmt es gleichzeitig nach den Regeln von Art. 342 StGB den Kanton, der für die Vollstreckung des ausländischen Urteils und die Durchführung des Exequaturverfahrens nach Art. 105 f. IRSG zuständig ist.</w:t>
      </w:r>
    </w:p>
    <w:p>
      <w:r>
        <w:rPr>
          <w:b/>
        </w:rPr>
        <w:t>E. 1.3</w:t>
      </w:r>
    </w:p>
    <w:p>
      <w:r>
        <w:t>Ist die hier umstrittene Zuständigkeitsfrage erstinstanzlich durch den Erlass einer Verfügung zu entscheiden, so tritt an die Stelle der Klage nach Art. 120 Abs. 1 BGG die Beschwerde gemäss Art. 120 Abs. 2 BGG . In diesem Beschwerdeverfahren beurteilt das Bundesgericht letztinstanzlich die kantonale Zuständigkeit. Die Beschwerde nach Art. 120 Abs. 2 BGG betrifft im vorliegenden Zusammenhang lediglich die Frage der Zuständigkeit zur Durchführung des Exequaturverfahrens und zur Vollstreckung des ausländischen Strafurteils. Es handelt sich dabei um eine staatsrechtliche Streitigkeit, die in Bezug auf Anfechtungsgegenstand, Vorinstanz, Beschwerdelegitimation etc. nicht in jeder Hinsicht den Regeln einer der drei Einheitsbeschwerden des BGG unterliegt. Anfechtungsobjekt bildet die gemäss Art. 104 Abs. 1 IRSG erlassene Verfügung des Bundesamts für Justiz. Zur Beschwerde gegen diese Verfügung ist der BGE 136 IV 44 S. 48 Kanton berechtigt, dem das Bundesamt die Prüfung der Vollstreckungsvoraussetzungen überträgt. In Bezug auf Form und Frist sind die Art. 42 und 100 Abs. 1 BGG anwendbar.</w:t>
      </w:r>
    </w:p>
    <w:p>
      <w:r>
        <w:rPr>
          <w:b/>
        </w:rPr>
        <w:t>E. 1.4</w:t>
      </w:r>
    </w:p>
    <w:p>
      <w:r>
        <w:t>Dem beschriebenen Rechtsweg zur Klärung der Zuständigkeits frage steht Art. 14 IRSV (SR 351.11) nicht entgegen. Diese vor Erlass des BGG eingefügte Bestimmung bezeichnet Entscheide des Bundesamts über die Annahme oder die Weiterleitung eines Ersuchens an die ausführende Behörde im Sinne von Art. 104 IRSG als nicht selbstständig anfechtbar. Dies entspricht grundsätzlich der Praxis des Bundesgerichts zur Anfechtbarkeit von Vorprüfungsentscheiden des Bundesamts für Justiz (Urteil des Bundesgerichts 1A.53/2001 vom 26. April 2001; ROBERT ZIMMERMANN, La coopération judiciaire internationale en matière pénale, 3. Aufl. 2009, S. 730). Soweit jedoch mit dem Entscheid des Bundesamts auch über die innerstaatliche Zuständigkeit zum Exequaturverfahren nach Art. 105 f. IRSG entschieden wird, liegt ein Entscheid über eine Rechtsfrage vor, welche für das Exequaturverfahren von grundlegender Bedeutung ist und nicht auf einen späteren Zeitpunkt verschoben werden kann. Nach rechtskräftiger Beurteilung der Zuständigkeitsfrage hat der als zuständig bezeichnete Kanton das Exequaturverfahren im Sinne von Art. 105 f. IRSG durchzuführen (Urteil 1A.53/2001 vom 26. April 2001 E. 2b). Der Entscheid des erstinstanzlichen Exequaturrichters unterliegt einem kantonalen Rechtsmittel ( Art. 106 Abs. 3 IRSG ). Der kantonale Rechtsmittelentscheid kann anschliessend mit Beschwerde in Strafsachen beim Bundesgericht angefochten werden ( Art. 78 Abs. 2 lit. b BGG ).</w:t>
      </w:r>
    </w:p>
    <w:p>
      <w:r>
        <w:rPr>
          <w:b/>
        </w:rPr>
        <w:t>E. 2</w:t>
      </w:r>
    </w:p>
    <w:p>
      <w:r>
        <w:t>Es ergibt sich, dass das Bundesamt für Justiz die Zuständigkeitsfrage gestützt auf Art. 104 Abs. 1 IRSG in einer Verfügung zu regeln hat, welche nach Art. 120 Abs. 2 BGG der Beschwerde durch den betroffenen Kanton an das Bundesgericht unterliegt. Auf die vorliegende Klage kann somit nicht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