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489</w:t>
      </w:r>
    </w:p>
    <w:p>
      <w:r>
        <w:t>Bundesgericht (BGE), 2010-08-26, DE</w:t>
      </w:r>
    </w:p>
    <w:p>
      <w:r>
        <w:rPr>
          <w:b/>
        </w:rPr>
        <w:t xml:space="preserve">Quelle: </w:t>
      </w:r>
      <w:r>
        <w:t>https://mcp.opencaselaw.ch/entscheid/bge_BGE_136_II_489</w:t>
      </w:r>
    </w:p>
    <w:p>
      <w:r>
        <w:t>FR: ATF 136 II 489</w:t>
      </w:r>
    </w:p>
    <w:p>
      <w:r>
        <w:t>IT: DTF 136 II 489</w:t>
      </w:r>
    </w:p>
    <w:p>
      <w:pPr>
        <w:pStyle w:val="Heading2"/>
      </w:pPr>
      <w:r>
        <w:t>Regeste</w:t>
      </w:r>
    </w:p>
    <w:p>
      <w:r>
        <w:t>Regeste Art. 72 ff., 82 ff. und 113 ff. BGG, Art. 16 und 50 TG; Rechtsmittelweg bei der Anfechtung eines Kontrollzuschlages für die Benutzung eines öffentlichen Verkehrsbetriebes ohne gültigen Fahrschein. Der Zuschlag dient der Entgeltung des Kontrollaufwands auf Seiten der Transportunternehmung und ist zivilrechtlicher Natur. Die Beschwerde in öffentlich-rechtlichen Angelegenheiten an das Bundesgericht ist ausgeschlossen. Wegen Fehlens des erforderlichen Streitwerts bzw. des Nachweises der grundsätzlichen Bedeutung der zu beurteilenden Rechtsfrage ist auch die Beschwerde in Zivilsachen unzulässig. Hingegen steht die subsidiäre Verfassungsbeschwerde offen (E. 1 und 2). Zwar wurde im Kanton der falsche, nämlich der öffentlich-rechtliche Rechtsmittelweg durchlaufen; es handelt sich dabei hier aber nicht um einen besonders schweren und offensichtlichen Mangel, der zur Nichtigkeit des kantonal letztinstanzlichen Urteils führt, die von Amtes wegen zu berücksichtigen wäre (E. 3).</w:t>
      </w:r>
    </w:p>
    <w:p>
      <w:r>
        <w:t>Regeste Art. 72 ss, 82 ss et 113 ss LTF, art. 16 et 50 LTP; voie de recours à l'encontre d'un supplément infligé, à la suite d'un contrôle, pour l'utilisation de transport public sans titre de transport valable. Le supplément sert à dédommager les frais de contrôle subis par l'entreprise de transport et il est de nature civile. Le recours en matière de droit public au Tribunal fédéral est exclu. Le recours en matière civile est également exclu, étant donné que la valeur litigieuse requise n'est pas atteinte et qu'il n'est pas établi que la contestation soulève une question juridique de principe. La voie du recours constitutionnel subsidiaire est par contre ouverte (consid. 1 et 2). Il est vrai qu'au niveau cantonal il a été procédé par la mauvaise voie de droit, soit celle de droit public. Il ne s'agit toutefois pas d'un défaut si grave et manifeste, lequel conduirait à la nullité de l'arrêt cantonal de dernière instance, qu'il faudrait prendre en considération d'office (consid. 3).</w:t>
      </w:r>
    </w:p>
    <w:p>
      <w:r>
        <w:t>Regesto Art. 72 segg., 82 segg. e 113 segg. LTF, art. 16 e 50 LTP; via di diritto contro un supplemento inflitto, a seguito di un controllo, per l'uso di un trasporto pubblico senza valido titolo. Il supplemento serve per risarcire le spese di controllo subite dall'impresa di trasporto ed è di natura civile. Il ricorso in materia di diritto pubblico al Tribunale federale è escluso. Il ricorso in materia civile è parimenti escluso, perché il valore litigioso richiesto non è raggiunto risp. a causa della mancanza della prova del fatto che la contestazione concerne una questione di diritto di importanza fondamentale. La via del ricorso sussidiario in materia costituzionale è invece aperta (consid. 1 e 2). È vero che a livello cantonale si è proceduto seguendo una via di diritto errata, ovvero quella prevista dal diritto pubblico. Tale difetto non è tuttavia così grave e manifesto da comportare la nullità del giudizio cantonale di ultima istanza, che occorrerebbe constatare d'ufficio (consid. 3).</w:t>
      </w:r>
    </w:p>
    <w:p>
      <w:pPr>
        <w:pStyle w:val="Heading2"/>
      </w:pPr>
      <w:r>
        <w:t>Erwägungen</w:t>
      </w:r>
    </w:p>
    <w:p>
      <w:r>
        <w:rPr>
          <w:b/>
        </w:rPr>
        <w:t>E. 1</w:t>
      </w:r>
    </w:p>
    <w:p>
      <w:r>
        <w:t>Am 1. Januar 2010 ist das Bundesgesetz vom 20. März 2009 über die Personenbeförderung (Personenbeförderungsgesetz, PBG; SR 745.1; AS 2009 5631) in Kraft getreten, das im vorliegenden Fall jedoch nicht Anwendung findet. Einschlägig ist vielmehr noch das Bundesgesetz vom 4. Oktober 1985 über den Transport im öffentlichen Verkehr (Transportgesetz, TG; AS 1986 1974), ergänzt durch das Bundesgesetz vom 18. Juni 1993 über die Personenbeförderung und die Zulassung als Strassentransportunternehmung (altes Personenbeförderungsgesetz, aPBG; AS 1993 3128), das hier aber nicht von Bedeutung ist.</w:t>
      </w:r>
    </w:p>
    <w:p>
      <w:r>
        <w:rPr>
          <w:b/>
        </w:rPr>
        <w:t>E. 2.1</w:t>
      </w:r>
    </w:p>
    <w:p>
      <w:r>
        <w:t>Der Beschwerdeführer bezeichnet seine Eingabe als "staatsrechtliche Beschwerde". Seit dem Inkrafttreten des Bundesgerichtsgesetzes am 1. Januar 2007 gibt es dieses Rechtsmittel allerdings nicht mehr. Hingegen ist zu prüfen, ob die Eingabe die Voraussetzungen einer der Beschwerdearten nach dem heute gültigen und auch hier anwendbaren Bundesgesetz vom 17. Juni 2005 über das Bundesgericht (Bundesgerichtsgesetz, BGG; SR 173.110) erfüllt.</w:t>
      </w:r>
    </w:p>
    <w:p>
      <w:r>
        <w:rPr>
          <w:b/>
        </w:rPr>
        <w:t>E. 2.2</w:t>
      </w:r>
    </w:p>
    <w:p>
      <w:r>
        <w:t>In Frage kommt zunächst die Beschwerde in öffentlich-rechtlichen Angelegenheiten nach Art. 82 ff. BGG . Angefochten ist ein kantonal letztinstanzlicher Endentscheid, gegen den diese Beschwerde grundsätzlich offensteht, falls es sich um einen Entscheid im Anwendungsbereich des öffentlichen Rechts handelt. Die kantonalen Instanzen haben den Streitfall als öffentlich-rechtlichen behandelt. Ob dies zutrifft, ist jedoch fraglich und wird insbesondere vom Bundesamt für Verkehr indirekt in Frage gestellt. Dieses macht - allerdings in der Sache und nicht unter dem Gesichtspunkt einer Sachurteilsvoraussetzung - geltend, es handle sich vorliegend um einen BGE 136 II 489 S. 492 zivilrechtlichen Streit, weshalb die Verkehrsbetriebe gar nicht hätten verfügen dürfen.</w:t>
      </w:r>
    </w:p>
    <w:p>
      <w:r>
        <w:rPr>
          <w:b/>
        </w:rPr>
        <w:t>E. 2.3</w:t>
      </w:r>
    </w:p>
    <w:p>
      <w:r>
        <w:t>Für die Zulässigkeit der Beschwerde in öffentlich-rechtlichen Angelegenheiten kommt es nicht darauf an, ob eine gerichtliche Behörde der öffentlichen Rechtspflege als Vorinstanz entschieden hat. Massgeblich ist einzig, welches Rechtsgebiet die Angelegenheit in der Sache regelt (BBl 2001 4319; BERNHARD WALDMANN, in: Basler Kommentar, Bundesgerichtsgesetz, 2008, N. 19 zu Art. 82 BGG ; ALAIN WURZBURGER, in: Commentaire de la LTF, 2009, N. 62 zu Art. 82 BGG ). Ob die Beschwerde in Zivil- oder in Strafsachen oder in öffentlich-rechtlichen Angelegenheiten offensteht, entscheidet sich mithin nach der rechtlichen Grundlage der Streitsache (vgl. BBl 2001 4319; YVES DONZALLAZ, Loi sur le Tribunal fédéral, Commentaire, 2008, Rz. 2660; WALDMANN, a.a.O., N. 19 zu Art. 82 BGG ; WURZBURGER, a.a.O., N. 63 zu Art. 82 BGG ). Den Ausschlag gibt insbesondere nicht, ob eine Verfügung ergangen ist. Verfügungen gibt es auch in Rechtsgebieten, die in unmittelbarem Zusammenhang mit dem Zivilrecht stehen und deshalb der Beschwerde in Zivilsachen unterliegen (vgl. Art. 72 Abs. 2 lit. b BGG ).</w:t>
      </w:r>
    </w:p>
    <w:p>
      <w:r>
        <w:rPr>
          <w:b/>
        </w:rPr>
        <w:t>E. 2.4</w:t>
      </w:r>
    </w:p>
    <w:p>
      <w:r>
        <w:t>Nach Art. 50 TG werden vermögensrechtliche Streitigkeiten zwischen dem Kunden und der Transportunternehmung durch den Zivilrichter beurteilt (Abs. 1). Für die übrigen Streitigkeiten gelten die Vorschriften der Bundesverwaltungsrechtspflege (Abs. 2). Die herrschende Lehre leitet daraus ab, dass die Transportverträge selbst dem Privatrecht unterstehen (URS ACHERMANN, Privatisierung im öffentlichen Verkehr, 2008, S. 115; HÄFELIN/MÜLLER/UHLMANN, Allgemeines Verwaltungsrecht, 5. Aufl. 2006, Rz. 285 f.; UHLMANN/HINDERLING, Transportrecht, in: Verkehrsrecht, Georg Müller [Hrsg.], SBVR Bd. IV, 2008, Rz. 38 und 49). Jedenfalls handelt es sich bei Streitigkeiten über den Fahrpreis um vermögensrechtliche Auseinandersetzungen, die zum Zivilrecht zu zählen sind. Zwar beruhen die Fahrpreise auf einem im Transportgesetz vorgeschriebenen Tarif (vgl. Art. 9-11 TG ), der über eine möglicherweise öffentlich-rechtliche oder gemischt-rechtliche Natur verfügt (vgl. BGE 102 Ib 314 E. 3a S. 317). Auch die Zuschläge sind von Gesetzes wegen im Tarif zu regeln ( Art. 16 Abs. 2 TG ). Sie haben aber keinen Bussen- oder Strafcharakter, sondern entgelten einzig den Kontrollaufwand auf Seiten der Transportunternehmung (vgl. Art. 16 Abs. 5 TG ; BBl 1983 II 186; Urteil des Bundesgerichts 2A.602/2004 vom 21. Oktober 2004 E. 2.1). Die Zuschläge sind zwar Gebühren oder anderen BGE 136 II 489 S. 493 vergleichbaren Kausalabgaben ähnlich, stellen aber - nicht anders als der Fahrpreis - keine solchen, sondern Forderungen aus dem privatrechtlichen Transportverhältnis dar. Bei der Leistung des Zuschlags handelt es sich daher um die Erfüllung einer im Tarif kodifizierten zivilrechtlichen Nebenpflicht des Transportvertrages (vgl. dazu schon das Bundesverwaltungsgericht in seinem Urteil A-420/2007 vom 3. September 2007 E. 1.4 sowie BGE 102 Ib 314 E. 3a S. 317). Daran ändert nichts, dass die Zuschläge im Transportgesetz über eine ausdrückliche gesetzliche Grundlage verfügen ( Art. 16 TG ), deren Rechtsnatur erneut gemischt-rechtlich sein dürfte; vielmehr beruht dies letztlich darauf, dass den Bundesbahnen eine staatliche Aufgabe übertragen ist, weshalb sie auch im privatrechtlichen Tätigkeitsbereich an die Grundrechte gebunden sind (vgl. Art. 35 Abs. 2 und Art. 36 Abs. 1 BV ; GEORG MÜLLER, Schutzwirkung der Grundrechte, in: Handbuch der Grundrechte [...], Bd. VII/2: Grundrechte in der Schweiz und in Liechtenstein, Merten/Papier [Hrsg.], 2007, Rz. 14 ff.; HÄFELIN/MÜLLER/UHLMANN, a.a.O., Rz. 295 f.; TSCHANNEN/ZIMMERLI/MÜLLER, Allgemeines Verwaltungsrecht, 3. Aufl. 2009, § 42 Nr. 6) bzw. die aus dem allgemeinen Legalitätsprinzip nach Art. 5 Abs. 1 BV abgeleiteten Anforderungen zu wahren haben (vgl. etwa ACHERMANN, a.a.O., S. 106 ff.; PETER UEBERSAX, Privatisierung der Verwaltung, in: ZBl 102/2001 S. 409).</w:t>
      </w:r>
    </w:p>
    <w:p>
      <w:r>
        <w:rPr>
          <w:b/>
        </w:rPr>
        <w:t>E. 2.5</w:t>
      </w:r>
    </w:p>
    <w:p>
      <w:r>
        <w:t>Ist der Zuschlag privatrechtlicher Natur, über den im Streitfall auf dem Weg der Zivilgerichtsbarkeit zu entscheiden ist, zählt er nicht zum öffentlichen Recht. Damit handelt es sich im vorliegenden Fall nicht um eine Angelegenheit des öffentlichen Rechts gemäss Art. 82 lit. a BGG , weshalb die Beschwerde in öffentlich-rechtlichen Angelegenheiten entfällt. Daran ändert nichts, dass das Verwaltungsgericht von einem öffentlich-rechtlichen Streit und daher von seiner Zuständigkeit ausgegangen ist (dazu im Übrigen E. 3). Die Zulässigkeit eines Rechtsmittels an das Bundesgericht hängt nicht von der Einschätzung der Rechtsnatur durch die Vorinstanz ab, sondern ergibt sich objektiv nach der tatsächlichen Rechtsnatur, worüber das Bundesgericht frei und von Amtes wegen entscheidet (vgl. Art. 29 Abs. 1 BGG ; BGE 135 III 1 E. 1.1 S. 3 mit Hinweisen).</w:t>
      </w:r>
    </w:p>
    <w:p>
      <w:r>
        <w:rPr>
          <w:b/>
        </w:rPr>
        <w:t>E. 2.6</w:t>
      </w:r>
    </w:p>
    <w:p>
      <w:r>
        <w:t>Zu prüfen ist diesfalls, ob eventuell die Beschwerde in Zivilsachen nach Art. 72 BGG zulässig wäre. Allerdings setzt eine solche einen Streitwert von mindestens 30'000.- Franken voraus ( Art. 74 Abs. 1 lit. b BGG ), der hier bei weitem nicht vorliegt. Die Beschwerde BGE 136 II 489 S. 494 ist - von hier nicht interessierenden weiteren Ausnahmetatbeständen abgesehen - trotzdem zulässig, wenn sich eine Rechtsfrage von grundsätzlicher Bedeutung stellt ( Art. 74 Abs. 2 lit. a BGG ), wobei in der Beschwerdeschrift auszuführen ist, warum diese Voraussetzung erfüllt ist ( Art. 42 Abs. 2 BGG ; vgl. BGE 133 III 439 E. 2.2.2.1 S. 442). Die vorliegende Beschwerdeschrift enthält keine entsprechenden Ausführungen, weshalb die Beschwerde in Zivilsachen schon aus diesem Grunde ausgeschlossen ist. Im Übrigen sind die Anforderungen der Rechtsprechung nicht erfüllt, wonach eine Frage von grundsätzlicher Bedeutung dann vorliegt, wenn diese zu einer erheblichen Rechtsunsicherheit führt und daher dringend einer Klärung durch das Bundesgericht bedarf (vgl. BGE 135 III 397 E. 1.2 S. 399 f.). Das würde allenfalls höchstens auf die Frage des kantonalen Instanzenzugs zutreffen, doch erhebt der Beschwerdeführer eine entsprechende Rüge gerade nicht (vgl. E. 3), weshalb nicht daraus die grundsätzliche Bedeutung des vorliegenden Falles abgeleitet werden kann.</w:t>
      </w:r>
    </w:p>
    <w:p>
      <w:r>
        <w:rPr>
          <w:b/>
        </w:rPr>
        <w:t>E. 2.7</w:t>
      </w:r>
    </w:p>
    <w:p>
      <w:r>
        <w:t>Damit verbleibt als mögliche Beschwerdeart einzig die subsidiäre Verfassungsbeschwerde nach Art. 113 ff. BGG , die gegen Entscheide letzter kantonaler Instanzen offensteht, soweit keine andere Beschwerde nach dem Bundesgerichtsgesetz zulässig ist. Diese Voraussetzungen sind hier erfüllt. Der Beschwerdeführer hat vor der Vorinstanz am Verfahren teilgenommen und hat ein rechtlich geschütztes Interesse an der Aufhebung oder Änderung des angefochtenen Entscheides, womit er zur Beschwerde legitimiert ist (vgl. Art. 115 BGG ). Gerügt werden kann allerdings einzig die Verletzung von verfassungsmässigen Rechten ( Art. 116 BGG ). Der Beschwerdeführer beschränkt sich im Wesentlichen auf die Erhebung solcher Rügen. Insoweit ist seine Eingabe an das Bundesgericht demnach als subsidiäre Verfassungsbeschwerde entgegenzunehmen.</w:t>
      </w:r>
    </w:p>
    <w:p>
      <w:r>
        <w:rPr>
          <w:b/>
        </w:rPr>
        <w:t>E. 2.8</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BGE 133 II 396 E. 3.1 S. 399). Insbesondere tritt das Bundesgericht im Zusammenhang mit der Willkürrüge auf rein appellatorische Kritik am angefochtenen Entscheid nicht ein (vgl. BGE 133 II 396 E. 3.1 S. 399; BGE 130 I 258 E. 1.3 S. 261 mit Hinweis). BGE 136 II 489 S. 495</w:t>
      </w:r>
    </w:p>
    <w:p>
      <w:r>
        <w:rPr>
          <w:b/>
        </w:rPr>
        <w:t>E. 3.1</w:t>
      </w:r>
    </w:p>
    <w:p>
      <w:r>
        <w:t>Das Bundesamt wendet vorweg ein, der angefochtene Entscheid sei schon deshalb aufzuheben, weil er an der vermeintlichen Verfügungskompetenz der Verkehrsbetriebe anknüpfe und deren Verfügung, für welche die Verkehrsbetriebe gar nicht zuständig gewesen seien, letztlich schütze. Es sei im vorliegenden Fall im Kanton schlicht der falsche Rechtsmittelweg beschritten worden.</w:t>
      </w:r>
    </w:p>
    <w:p>
      <w:r>
        <w:rPr>
          <w:b/>
        </w:rPr>
        <w:t>E. 3.2</w:t>
      </w:r>
    </w:p>
    <w:p>
      <w:r>
        <w:t>Dieser Einwand dürfte angesichts von § 1 des zürcherischen Verwaltungsrechtspflegegesetzes vom 24. Mai 1959 (VRG; LS 175.2) grundsätzlich begründet sein, wonach öffentlich-rechtliche Angelegenheiten von den Verwaltungsbehörden und vom Verwaltungsgericht entschieden werden, privatrechtliche Ansprüche hingegen vor den Zivilgerichten geltend zu machen sind. Die Vorinstanz hat ihre Zuständigkeit, ohne die Rechtsnatur des Streitgegenstandes näher zu prüfen, insoweit fälschlicherweise auf § 19c Abs. 2 VRG und § 41 VRG gestützt, worin die Voraussetzungen für einen Rekurs beim Verwaltungsgericht festgelegt werden. Der Beschwerdeführer macht indessen die Unzuständigkeit des Verwaltungsgerichts bzw. von dessen Unterinstanzen nicht geltend. Gestützt auf eine solche ausdrückliche und begründete Rüge hätte die Beschwerde allenfalls als eine solche in Zivilsachen mit einer Rechtsfrage von grundsätzlicher Bedeutung (gemäss Art. 74 Abs. 2 lit. a BGG ) zulässig sein und behandelt werden können. Mangels rechtsgenüglicher Rüge ist dies aber ausgeschlossen (vgl. E. 2.6 und 2.8). Auf diese Frage ist daher grundsätzlich nicht einzugehen (vgl. für die umgekehrte Konstellation zwischen privat- und öffentlich-rechtlichem Rechtsmittelweg etwa das Urteil des Bundesgerichts 2C_58/2009 vom 4. Februar 2009 E. 1.4).</w:t>
      </w:r>
    </w:p>
    <w:p>
      <w:r>
        <w:rPr>
          <w:b/>
        </w:rPr>
        <w:t>E. 3.3</w:t>
      </w:r>
    </w:p>
    <w:p>
      <w:r>
        <w:t>Immerhin wäre die Unzuständigkeit von Amtes wegen zu berücksichtigen, wenn der angefochtene Entscheid geradezu nichtig wäre. Zwar kann die funktionelle oder sachliche Unzuständigkeit einer Behörde einen Nichtigkeitsgrund für deren Entscheide darstellen (vgl. BGE 127 II 32 E. 3g S. 47 f. mit Hinweisen). Vorausgesetzt ist aber, dass der Mangel besonders schwer und offensichtlich oder zumindest leicht erkennbar ist und die Rechtssicherheit durch die Annahme der Nichtigkeit nicht ernsthaft gefährdet wird ( BGE 132 II 342 E. 2.1 S. 346). Im vorliegenden Fall war die fehlende Kompetenz der öffentlich-rechtlichen Instanzen indessen nicht offensichtlich. Die Unzuständigkeit der öffentlich-rechtlichen Rechtsmittelinstanzen ist lange Zeit nicht klar gewesen und wurde den beteiligten BGE 136 II 489 S. 496 Behörden erst in den letzten Jahren allmählich bewusst. Bezeichnenderweise haben sich die Vorinstanzen ohne Zögern als kompetent erachtet. Ausserdem haben sich alle Verfahrensbeteiligten vorbehaltlos auf das Verfahren eingelassen. Es verträgt sich daher nicht mit der Rechtssicherheit und rechtfertigt sich nicht, nunmehr in letzter Instanz von Amtes wegen auf Nichtigkeit zu erkennen und die ganze Sache von Anfang an an den Zivilrichter zu verweisen. Das Bundesgericht hat dies bei analoger prozessualer Ausgangslage in einem auch inhaltlich ähnlich gelagerten Streitfall im Urteil 2A.602/2004 vom 21. Oktober 2004 ebenfalls nicht getan. Es hat den damaligen Fall sogar im vereinfachten Verfahren entschieden und sich überhaupt nicht zur Zuständigkeit der öffentlich-rechtlichen Instanzen bzw. zum damals beschrittenen öffentlich-rechtlichen Rechtsmittelweg geäussert. Damit ist nicht von einer offensichtlichen Unzuständigkeit auszugehen, die mit der Nichtigkeitsfolge verbunden wäre. Die zuständigen Behörden und betroffenen Beteiligten werden in künftigen Fällen die Zuständigkeitsordnung aber zu beachten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