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447</w:t>
      </w:r>
    </w:p>
    <w:p>
      <w:r>
        <w:t>Bundesgericht (BGE), 2008-10-02, FR</w:t>
      </w:r>
    </w:p>
    <w:p>
      <w:r>
        <w:rPr>
          <w:b/>
        </w:rPr>
        <w:t xml:space="preserve">Quelle: </w:t>
      </w:r>
      <w:r>
        <w:t>https://mcp.opencaselaw.ch/entscheid/bge_BGE_136_II_447</w:t>
      </w:r>
    </w:p>
    <w:p>
      <w:r>
        <w:t>FR: ATF 136 II 447</w:t>
      </w:r>
    </w:p>
    <w:p>
      <w:r>
        <w:t>IT: DTF 136 II 447</w:t>
      </w:r>
    </w:p>
    <w:p>
      <w:pPr>
        <w:pStyle w:val="Heading2"/>
      </w:pPr>
      <w:r>
        <w:t>Regeste</w:t>
      </w:r>
    </w:p>
    <w:p>
      <w:r>
        <w:t>Regeste a Art. 16b Abs. 1 und Art. 16c Abs. 1 SVG; Überfahren der Sicherheitslinie und Schwere der Widerhandlung. Das Überfahren einer Sicherheitslinie stellt aus objektiver Sicht eine schwere Verkehrsregelverletzung dar. Im vorliegenden Fall überfuhr der Beschwerdeführer die Sicherheitslinie vorsätzlich, einzig weil es für ihn persönlich zweckmässig war. Seine Widerhandlung kann nicht als leicht bezeichnet werden, selbst wenn das Manöver keine konkrete Gefährdung bewirkte (E. 3).</w:t>
      </w:r>
    </w:p>
    <w:p>
      <w:r>
        <w:t>Regeste b Art. 15a Abs. 4 SVG; Verfall des Führerausweises auf Probe. Der Verfall des Führerausweises auf Probe setzt nicht voraus, dass der vorangehende Ausweisentzug vollzogen worden oder auch nur dass der betreffende Entscheid in Rechtskraft erwachsen ist. Im Übrigen hängt der Verfall des Führerausweises auf Probe nicht von der Schwere der Widerhandlung ab. Entscheidend ist vielmehr, dass nach einer ersten Widerhandlung, die zu einem Ausweisentzug (sowie zu einer Verlängerung der Probezeit) führte, eine zweite Widerhandlung begangen wird, welche ebenfalls einen Ausweisentzug zur Folge hat. Eine zweite Widerhandlung bewirkt somit den Verfall des Führerausweises auf Probe, auch wenn der Entscheid, welcher die erste Widerhandlung mit einem Ausweisentzug sanktionierte, noch nicht rechtskräftig ist und/oder noch nicht vollzogen wurde (E. 5 und 6).</w:t>
      </w:r>
    </w:p>
    <w:p>
      <w:r>
        <w:t>Regeste a Art. 16b al. 1 et art. 16c al. 1 LCR; franchissement de la ligne de sécurité et gravité de l'infraction. Le franchissement d'une ligne de sécurité représente, d'un point de vue objectif, une violation grave des règles de la circulation routière. Dans le cas particulier, le recourant a franchi la ligne de sécurité de manière délibérée, sans autre motif justificatif que la convenance personnelle. Son infraction ne peut dès lors être qualifiée de légère, même si la manoeuvre n'a pas créé de mise en danger concrète (consid. 3).</w:t>
      </w:r>
    </w:p>
    <w:p>
      <w:r>
        <w:t>Regeste b Art. 15a al. 4 LCR; caducité du permis de conduire à l'essai. La caducité du permis à l'essai n'est pas liée au fait que le précédent retrait ait été exécuté ou que la décision y relative soit entrée en force. Par ailleurs,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Une seconde infraction provoque ainsi l'annulation du permis à l'essai même si le retrait prononcé pour la première infraction n'est pas encore entré en force et/ou n'a pas été exécuté (consid. 5 et 6).</w:t>
      </w:r>
    </w:p>
    <w:p>
      <w:r>
        <w:t>Regesto a Art. 16b cpv. 1 e art. 16c cpv. 1 LCStr; superamento della linea di sicurezza e gravità dell'infrazione. Il superamento della linea di sicurezza costituisce, da un punto di vista oggettivo, una violazione grave delle norme della circolazione stradale. Nel caso concreto, il ricorrente ha superato la linea di sicurezza deliberatamente, solo per convenienza personale. La sua infrazione non può quindi essere ritenuta lieve, anche se la manovra non ha provocato un pericolo concreto (consid. 3).</w:t>
      </w:r>
    </w:p>
    <w:p>
      <w:r>
        <w:t>Regesto b Art. 15a cpv. 4 LCStr; scadenza della licenza di condurre in prova. La scadenza della licenza di condurre in prova non è legata al fatto che la revoca precedente sia stata eseguita o che la relativa decisione sia cresciuta in giudicato. Del resto, l'annullamento della licenza di condurre in prova non dipende dalla gravità dell'infrazione. L'elemento determinante è piuttosto la presenza di una precedente infrazione che abbia comportato la revoca della licenza di condurre (e la proroga del periodo di prova) e di una seconda infrazione che comporta pure una revoca. Una seconda infrazione provoca così l'annullamento della licenza di condurre in prova anche se la revoca pronunciata per la prima infrazione non è ancora cresciuta in giudicato e/o non è ancora stata eseguita (consid. 5 e 6).</w:t>
      </w:r>
    </w:p>
    <w:p>
      <w:pPr>
        <w:pStyle w:val="Heading2"/>
      </w:pPr>
      <w:r>
        <w:t>Erwägungen</w:t>
      </w:r>
    </w:p>
    <w:p>
      <w:r>
        <w:rPr>
          <w:b/>
        </w:rPr>
        <w:t>E. 2</w:t>
      </w:r>
    </w:p>
    <w:p>
      <w:r>
        <w:t>Le recourant reproche tout d'abord au Tribunal cantonal d'avoir constaté les faits de façon manifestement inexacte et incomplète.</w:t>
      </w:r>
    </w:p>
    <w:p>
      <w:r>
        <w:rPr>
          <w:b/>
        </w:rPr>
        <w:t>E. 2.1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du 28 février 2001, concernant la révision totale de l'organisation judiciaire fédérale FF 2001 4135 ch. 4.1.4.2).</w:t>
      </w:r>
    </w:p>
    <w:p>
      <w:r>
        <w:rPr>
          <w:b/>
        </w:rPr>
        <w:t>E. 2.2</w:t>
      </w:r>
    </w:p>
    <w:p>
      <w:r>
        <w:t>Le recourant fait valoir que le Tribunal cantonal n'a pas tenu compte, dans la pesée des intérêts, de ses besoins du permis de conduire pour la pratique de son activité professionnelle. Cette critique ne relève pas de l'établissement des faits mais plutôt de leur appréciation juridique. Il s'agit dès lors d'une question de droit qui sera examinée avec le fond (cf. consid. 7 non publié). Le recourant allègue ensuite que la Cour cantonale n'a pas retenu que le retrait du permis de conduire de la première infraction, réalisée le 15 juillet 2008 (décision du 2 octobre 2008), a été purgé du 15 décembre 2008 au 14 janvier 2009; or, cet élément serait important pour démontrer que la mesure a effectivement été exécutée après la seconde infraction du 24 octobre 2008. Il ressort de l'arrêt attaqué que le Tribunal cantonal n'a pas ignoré ce fait mais en a bien tenu compte. Il a toutefois considéré qu'il n'était pas déterminant dans le cadre de l' art. 15a al. 4 LCR . Il n'y a dès lors pas lieu de compléter ou corriger les faits retenus dans l'arrêt attaqué et le Tribunal fédéral est lié par ceux-ci conformément à l' art. 105 al. 1 LTF . Le grief du recourant doit être rejeté.</w:t>
      </w:r>
    </w:p>
    <w:p>
      <w:r>
        <w:rPr>
          <w:b/>
        </w:rPr>
        <w:t>E. 3</w:t>
      </w:r>
    </w:p>
    <w:p>
      <w:r>
        <w:t>Sur le fond, le recourant se plaint d'une violation et d'une application arbitraire des art. 16a, 16b et 16c LCR en relation avec une violation de l' art. 15a al. 4 LCR . Il considère que l'infraction du 24 octobre 2008 doit être qualifiée de légère au sens de l' art. 16a LCR . Il souligne qu'il n'a gêné personne par sa manoeuvre, n'a pas commis d'excès de vitesse et disposait d'une visibilité étendue sur une route sèche où la densité du trafic était faible; les risques d'accident étaient BGE 136 II 447 S. 451 donc minimes. Il estime en outre que l'autorité administrative n'aurait pas dû s'écarter du jugement pénal, qui a considéré que sa faute était légère.</w:t>
      </w:r>
    </w:p>
    <w:p>
      <w:r>
        <w:rPr>
          <w:b/>
        </w:rPr>
        <w:t>E. 3.1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consid. 1c/bb p. 106; ATF 123 II 97 consid. 3c/aa p. 100; ATF 121 II 214 consid. 3a p. 217; ATF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129 II 312 consid. 2.4 p. 315 et les arrêts cités). Cette dernière hypothèse recouvre notamment le cas où le juge pénal a rendu sa décision sur la seule base du dossier, sans procéder lui-même à des débats ( ATF 120 Ib 312 consid. 4b p. 315). En l'espèce, l'ordonnance du préfet du 6 novembre 2008, qui a reconnu le recourant coupable de violation simple des règles de la circulation routière, s'appuie uniquement sur la dénonciation de la gendarmerie vaudoise; le préfet n'a entendu ni les parties, ni des témoins, et n'a pas procédé à de plus amples mesures probatoires. Son appréciation juridique ne dépend donc pas étroitement de faits qu'il connaîtrait de manière plus approfondie que l'autorité administrative. La Commission cantonale, qui disposait du même dossier, ainsi que le Tribunal cantonal, étaient dès lors libres de procéder à leur propre appréciation juridique des faits pertinents.</w:t>
      </w:r>
    </w:p>
    <w:p>
      <w:r>
        <w:rPr>
          <w:b/>
        </w:rPr>
        <w:t>E. 3.2</w:t>
      </w:r>
    </w:p>
    <w:p>
      <w:r>
        <w:t>La LCR distingue les infractions légères, moyennement graves et graves (art. 16a-c LCR). Selon l' art. 16a al. 1 let. a LCR , commet une infraction légère la personne qui, en violant les règles de la BGE 136 II 447 S. 452 circulation, met légèrement en danger la sécurité d'autrui et à laquelle seule une faute bénigne peut être imputée. En cas d'infraction particulièrement légère, il est renoncé à toute mesure administrative ( art. 16a al. 3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p. 442). Par ailleurs, l' art. 34 LCR prévoit que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(al. 2). L'art. 73 al. 6 let. a de l'ordonnance du 5 septembre 1979 sur la signalisation routière (OSR; RS 741.21) précise qu'il est interdit aux véhicules de franchir les lignes de sécurité ou d'empiéter sur elles.</w:t>
      </w:r>
    </w:p>
    <w:p>
      <w:r>
        <w:rPr>
          <w:b/>
        </w:rPr>
        <w:t>E. 3.3</w:t>
      </w:r>
    </w:p>
    <w:p>
      <w:r>
        <w:t>En l'espèce, il n'est pas contesté que le recourant a franchi une ligne de sécurité. Du point de vue objectif, pareille manoeuvre représente une violation grave des règles de la circulation routière en BGE 136 II 447 S. 453 raison du danger notoirement important qu'elle comporte pour la sécurité du trafic et, en particulier, des usagers de la route circulant en sens inverse ( ATF 119 V 241 consid. 3d/bb p. 247; arrêt 1C_294/2008 du 18 novembre 2008 consid. 3.1). Il ne peut être dérogé à l'interdiction de franchir les lignes de sécurité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 ATF 86 IV 113 et les arrêts cités), ou encore lorsque cette manoeuvre est la seule qui permette d'éviter un accident ou d'en rendre les conséquences moins graves ( ATF 119 V 241 consid. 3d/bb précité; 63 I 53 consid. 2 p. 58/59; 63 II 209 consid. 2b/bb p. 215; 61 I 218 consid. 4 p. 222; 38 II 487 consid. 2 p. 488). Or, dans le cas particulier, le Tribunal cantonal a retenu que le conducteur avait commis cette infraction de manière délibérée, sans autres motifs justificatifs que la convenance personnelle. Il ne pouvait en particulier se prévaloir d'aucune erreur d'appréciation explicable par des circonstances particulières ou d'un état de nécessité provoqué par les conditions du trafic. Le recourant ne remet pas en cause cette appréciation. Dans ces circonstances, c'est à juste titre que la Cour cantonale a considéré que l'infraction ne pouvait être qualifiée de légère, même si la manoeuvre n'a pas créé de mise en danger concrète. Il est au demeurant sans incidence de déterminer si l'infraction est grave ou moyennement grave car, dans un cas comme dans l'autre, le permis de conduire doit être retiré en application de l'art. 16b al. 2 ou 16c al. 2 LCR. Mal fondé, le grief doit être rejeté.</w:t>
      </w:r>
    </w:p>
    <w:p>
      <w:r>
        <w:rPr>
          <w:b/>
        </w:rPr>
        <w:t>E. 4</w:t>
      </w:r>
    </w:p>
    <w:p>
      <w:r>
        <w:t>Il reste à examiner si le permis de conduire à l'essai du recourant doit être annulé en vertu de l' art. 15a al. 4 LCR .</w:t>
      </w:r>
    </w:p>
    <w:p>
      <w:r>
        <w:rPr>
          <w:b/>
        </w:rPr>
        <w:t>E. 4.1</w:t>
      </w:r>
    </w:p>
    <w:p>
      <w:r>
        <w:t>Selon l' art. 15a LCR ,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BGE 136 II 447 S. 454 la personne concernée obtient un nouveau permis de conduire à l'essai (al. 6).</w:t>
      </w:r>
    </w:p>
    <w:p>
      <w:r>
        <w:rPr>
          <w:b/>
        </w:rPr>
        <w:t>E. 4.2</w:t>
      </w:r>
    </w:p>
    <w:p>
      <w:r>
        <w:t>Contrairement au Tribunal cantonal, le recourant est d'avis que l' art. 15a al. 4 LCR ne s'applique que lorsque le retrait du permis de conduire de la première infraction a été purgé. Une deuxième infraction ne saurait donc entraîner l'annulation du permis avant que le précédent retrait ait été entièrement exécuté. Ceci découlerait de l'interprétation téléologique et systématique de la disposition, laquelle poursuivrait un but de prévention et d'éducation. Le but du législateur serait ainsi de rendre caduc le permis du jeune conducteur qui n'a pas fait ses preuves après avoir purgé un premier retrait et qui démontrerait par là sa dangerosité accrue pour la sécurité routière. Subsidiairement, le recourant soutient que la seconde infraction ne peut déclencher l'annulation du permis de conduire à l'essai seulement si elle est commise après l'entrée en force de la décision relative au précédent retrait.</w:t>
      </w:r>
    </w:p>
    <w:p>
      <w:r>
        <w:rPr>
          <w:b/>
        </w:rPr>
        <w:t>E. 5.1</w:t>
      </w:r>
    </w:p>
    <w:p>
      <w:r>
        <w:t>La révision législative portant notamment sur l'adjonction de l' art.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[ci-après: Message], FF 1999 4106 4108). Le législateur indique en outre que l'introduction du permis de conduire à l'essai en sus de la formation complémentaire obligatoire a largement été plébiscitée lors de la procédure de consultation. Le projet de révision prévoyait 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BGE 136 II 447 S. 455 phase de la formation obligatoire, ce qui serait inefficace. Si une deuxième infraction entraînant le retrait du permis de conduire est commise pendant la période probatoire, l'autorisation de conduire échoira, vu le résultat négatif, et le permis définitif ne sera pas délivré. Les milieux consultés ont nettement rejeté l'idée d'une prolongation supplémentaire de la période probatoire (Message p. 4129 s. ad art. 15a).</w:t>
      </w:r>
    </w:p>
    <w:p>
      <w:r>
        <w:rPr>
          <w:b/>
        </w:rPr>
        <w:t>E. 5.2</w:t>
      </w:r>
    </w:p>
    <w:p>
      <w:r>
        <w:t>Certains auteurs considèrent que l' art. 15a al. 4 LCR décrit implicitement un cas de récidive (DEMIERRE/MIZEL/MOURON, Les mesures administratives liées au nouveau permis de conduire à l'essai, in PJA 2007 p. 729 ss, 735). Or, en droit des mesures administratives, le délai de récidive débute généralement à partir de l'échéance du retrait précédent. Les auteurs précités se sont donc posé la question de savoir si une seconde infraction "entraînant un retrait de permis" déclenchait l'annulation du permis uniquement si le retrait précédent avait été entièrement purgé, ou déjà lorsque la décision y relative était entrée en force, voire éventuellement avec une interprétation littérale de l' art. 15a al. 4 LCR si la première décision de retrait avait été prise mais pas encore notifiée. Se référant à la logique du système, qui n'utilise pas le terme de récidive mais qui requiert toutefois une gradation des sanctions, comme à la sévérité particulière liée à la période d'essai, ils ont émis l'hypothèse, sans grande conviction toutefois, que le critère déterminant pourrait être l'entrée en force de la décision relative au premier retrait (DEMIERRE/MIZEL/MOURON , op. cit., p. 736).</w:t>
      </w:r>
    </w:p>
    <w:p>
      <w:r>
        <w:rPr>
          <w:b/>
        </w:rPr>
        <w:t>E. 5.3</w:t>
      </w:r>
    </w:p>
    <w:p>
      <w:r>
        <w:t>D'un point de vue technique, la récidive consiste à commettre une nouvelle infraction après avoir encouru antérieurement une condamnation définitive pour une autre infraction (cf. ancien art. 67 et art. 42 al. 2 CP ). Ainsi, en droit de la circulation routière, un conducteur se trouve en état de récidive lorsqu'il commet un délit qui entraîne un retrait du permis obligatoire dans les deux ans - voire cinq ans - depuis la fin de l'exécution d'un précédent retrait (cf. ancien art. 17 al. 1 let . c LCR; arrêt 6A.29/1993 du 17 mai 1993 consid. 2b, in SJ 1993 p. 533). Les dispositions actuelles relatives au retrait du permis, modifiées par la loi fédérale du 14 décembre 2001 et en vigueur depuis le 1 er janvier 2005 (RO 2002 2767, 2004 2849), n'ont pas introduit de changement quant au point de départ du calcul du délai (cf. RENÉ SCHAFFHAUSER , Die neuen Administrativmassnahmen des Strassenverkehrsgesetzes, Jahrbuch zum Strassenverkehrsrecht 2003, p. 161 ss, n. 85 p. 206). BGE 136 II 447 S. 456 Les termes employés pour décrire la récidive dans le cadre du retrait du permis définitif se réfèrent explicitement à la précédente mesure (cf. art. 16a al. 2 LCR : "... au conducteur qui a fait l'objet d'un retrait de permis ou d'une autre mesure administrative..."; art. 16b al. 2 et 16c al. 2 LCR : "... si, au cours des deux [ou cinq] années précédentes, le permis a été retiré une fois..."). L' art. 15a al. 4 LCR , en revanche, met l'accent sur l'infraction elle-même ("... lorsque son titulaire commet une seconde infraction..."). Ainsi, d'après la lettre et l'esprit de cette disposition, la caducité du permis à l'essai n'est pas liée au fait que le précédent retrait ait été exécuté ou que la décision y relative soit entrée en force. Il ne s'agit dès lors pas d'un cas de récidive au sens technique ("Rückfall"), mais plutôt d'une simple réitération ("Wiederholung"). Au surplus, comme le relève à juste titre le Tribunal cantonal, le Message ne fait nullement référence au système du retrait du permis définitif et les différents éléments susmentionnés imposent de penser que le système employé, et voulu par le législateur, pour le permis de conduire définitif ne doit pas s'appliquer directement au permis à l'essai; ce dernier poursuit en effet une fonction éducative et son but est notamment de diminuer les accidents en sanctionnant de manière plus sévère ceux qui compromettent la sécurité routière. 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La question peut rester indécise en l'espèce de savoir si le conducteur peut également se voir opposer l' art. 15a al. 4 LCR lorsque la décision administrative relative à la première infraction ne lui a pas été notifiée, voire n'a pas encore été prise.</w:t>
      </w:r>
    </w:p>
    <w:p>
      <w:r>
        <w:rPr>
          <w:b/>
        </w:rPr>
        <w:t>E. 6</w:t>
      </w:r>
    </w:p>
    <w:p>
      <w:r>
        <w:t>Dans le cas particulier, le recourant a commis une première infraction entraînant le retrait du permis à l'essai le 15 juillet 2008. BGE 136 II 447 S. 457 Celle-ci a été sanctionnée tant sur le plan pénal, le 7 août 2008, que sur le plan administratif, le 2 octobre 2008. Cette dernière décision lui a été notifiée le 15 octobre 2008. Aucun de ces prononcés n'a été contesté. Le 24 octobre 2008, le recourant a commis une seconde infraction qui a également fait l'objet d'une ordonnance pénale, à laquelle il n'a pas fait opposition. Cette seconde infraction, qui doit être qualifiée de grave ou moyennement grave, provoque le retrait du permis de conduire. Par conséquent c'est à juste titre que le Tribunal cantonal a confirmé l'annulation du permis du recourant. Il importe peu que la décision administrative liée à la première infraction du 15 juillet 2008 n'était pas encore entrée en force et que le retrait n'avait pas encore été purgé; la première mesure prononcée à son encontre, notifiée peu avant de commettre la seconde infraction, aurait dû lui servir d'avertissement.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