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436</w:t>
      </w:r>
    </w:p>
    <w:p>
      <w:r>
        <w:t>Bundesgericht (BGE), 2010-08-27, DE</w:t>
      </w:r>
    </w:p>
    <w:p>
      <w:r>
        <w:rPr>
          <w:b/>
        </w:rPr>
        <w:t xml:space="preserve">Quelle: </w:t>
      </w:r>
      <w:r>
        <w:t>https://mcp.opencaselaw.ch/entscheid/bge_BGE_136_II_436</w:t>
      </w:r>
    </w:p>
    <w:p>
      <w:r>
        <w:t>FR: ATF 136 II 436</w:t>
      </w:r>
    </w:p>
    <w:p>
      <w:r>
        <w:t>IT: DTF 136 II 436</w:t>
      </w:r>
    </w:p>
    <w:p>
      <w:pPr>
        <w:pStyle w:val="Heading2"/>
      </w:pPr>
      <w:r>
        <w:t>Regeste</w:t>
      </w:r>
    </w:p>
    <w:p>
      <w:r>
        <w:t>Regeste Art. 86 Abs. 3 BGG; Entscheide mit vorwiegend politischem Charakter. Aufgrund des engen Zusammenhangs zwischen Art. 86 Abs. 3 BGG und der Rechtsweggarantie nach Art. 29a BV kommt der Ausschluss der richterlichen Beurteilung ausdrücklich nur für Ausnahmefälle in Betracht. Mit Art. 86 Abs. 3 BGG soll den Kantonen namentlich die Möglichkeit eingeräumt werden, nicht justiziable, politisch bedeutsame Verwaltungsakte des Parlaments von der verwaltungsgerichtlichen Überprüfung auszunehmen (E. 1.2). Der angefochtene kantonale Entscheid über die Erteilung einer Wasserrechtskonzession hat zwar eine politische Komponente, umfasst jedoch nicht einzig den blossen Verleihungsakt, sondern regelt neben den Rechten insbesondere auch die Pflichten der Konzessionärin detailliert. Diese Aspekte sind justiziabel und weisen keinen vorwiegend politischen Charakter auf. Somit ist in einem gerichtlichen Verfahren zu prüfen, ob das Vorhaben der einschlägigen Gesetzgebung, insbesondere den Vorgaben des Bau-, Planungs- und Umweltrechts entspricht (E. 1.3).</w:t>
      </w:r>
    </w:p>
    <w:p>
      <w:r>
        <w:t>Regeste Art. 86 al. 3 LTF; décisions revêtant un caractère politique prépondérant. En raison du lien étroit entre l'art. 86 al. 3 LTF et la garantie de l'accès au juge de l'art. 29a Cst., un examen par le juge ne peut explicitement être exclu que dans des cas exceptionnels. En vertu de l'art. 86 al. 3 LTF, les cantons doivent avoir la possibilité de soustraire à la compétence du juge administratif les actes parlementaires sensiblement politiques, qui ne peuvent pas faire l'objet d'un contrôle judiciaire (consid. 1.2). La décision cantonale attaquée relative à l'octroi d'une concession hydraulique a certes une composante politique. Elle ne comprend toutefois pas uniquement l'acte d'octroi de la concession, mais règle également de façon détaillée les droits et les obligations de la concessionnaire. Ces aspects sont susceptibles d'un contrôle judiciaire et ne présentent pas un caractère politique prépondérant. Il convient dès lors d'examiner dans le cadre d'une procédure judiciaire si le projet est conforme à la législation pertinente, en particulier aux principes du droit des constructions, de l'aménagement du territoire et de l'environnement (consid. 1.3).</w:t>
      </w:r>
    </w:p>
    <w:p>
      <w:r>
        <w:t>Regesto Art. 86 cpv. 3 LTF; decisioni di carattere prevalentemente politico. In virtù dello stretto rapporto tra l'art. 86 cpv. 3 LTF e la garanzia della via giudiziaria sancita dall'art. 29a Cost., l'esclusione dell'esame da parte di un giudice entra esplicitamente in considerazione soltanto in casi eccezionali. L'art. 86 cpv. 3 LTF concede ai Cantoni in particolare la possibilità di sottrarre a un controllo giudiziario atti amministrativi del parlamento non giustiziabili di rilevanza politica (consid. 1.2). La decisione cantonale impugnata, concernente il rilascio di una concessione di utilizzazione di forze idriche, ha certo una componente politica, ma oltre all'atto di rilascio della concessione comprende anche la regolamentazione dettagliata dei diritti e degli obblighi della concessionaria. Questi aspetti sono giustiziabili e non presentano un carattere prevalentemente politico. Occorre quindi esaminare nel quadro di una procedura giudiziaria se il progetto rispetta la legislazione pertinente, in particolare le esigenze del diritto edilizio, pianificatorio e di protezione dell'ambiente (consid. 1.3)</w:t>
      </w:r>
    </w:p>
    <w:p>
      <w:pPr>
        <w:pStyle w:val="Heading2"/>
      </w:pPr>
      <w:r>
        <w:t>Erwägungen</w:t>
      </w:r>
    </w:p>
    <w:p>
      <w:r>
        <w:rPr>
          <w:b/>
        </w:rPr>
        <w:t>E. 1</w:t>
      </w:r>
    </w:p>
    <w:p>
      <w:r>
        <w:t>Das Bundesgericht prüft von Amtes wegen und mit freier Kognition, ob und inwieweit auf ein Rechtsmittel eingetreten werden kann ( Art. 29 Abs. 1 BGG ; BGE 133 II 249 E. 1.1 S. 251).</w:t>
      </w:r>
    </w:p>
    <w:p>
      <w:r>
        <w:rPr>
          <w:b/>
        </w:rPr>
        <w:t>E. 1.1</w:t>
      </w:r>
    </w:p>
    <w:p>
      <w:r>
        <w:t>Angefochten ist ein kantonaler Endentscheid über die Erteilung einer Wasserrechtskonzession. Es handelt sich dabei um eine öffentlich-rechtliche Angelegenheit im Sinne von Art. 82 lit. a BGG , welche grundsätzlich der Beschwerde in öffentlich-rechtlichen Angelegenheiten unterliegt.</w:t>
      </w:r>
    </w:p>
    <w:p>
      <w:r>
        <w:rPr>
          <w:b/>
        </w:rPr>
        <w:t>E. 1.2</w:t>
      </w:r>
    </w:p>
    <w:p>
      <w:r>
        <w:t>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In den Materialien wird nicht näher erläutert, was unter dem unbestimmten Gesetzesbegriff "Entscheide mit vorwiegend politischem Charakter" im Einzelnen zu verstehen ist (vgl. Botschaft vom 28. Februar 2001 zur Totalrevision der Bundesrechtspflege, BBl 2001 4327 BGE 136 II 436 S. 439 zu Art. 80). Aufgrund des engen Zusammenhangs zwischen Art. 86 Abs. 3 BGG und der Rechtsweggarantie nach Art. 29a BV kommt der Ausschluss der richterlichen Beurteilung ausdrücklich nur für Ausnahmefälle in Betracht ( BGE 136 I 42 E. 1.5 S. 45; vgl. auch ESTHER TOPHINKE, in: Basler Kommentar, Bundesgerichtsgesetz, 2008, N. 19 zu Art. 86 BGG ). Mit Art. 86 Abs. 3 BGG soll den Kantonen namentlich die Möglichkeit eingeräumt werden, nicht justiziable, politisch bedeutsame Verwaltungsakte des Parlaments von der verwaltungsgerichtlichen Überprüfung auszunehmen.</w:t>
      </w:r>
    </w:p>
    <w:p>
      <w:r>
        <w:rPr>
          <w:b/>
        </w:rPr>
        <w:t>E. 1.3</w:t>
      </w:r>
    </w:p>
    <w:p>
      <w:r>
        <w:t>Die Erteilung von Wasserkraftkonzessionen hat zwar eine politische Komponente. Der angefochtene Konzessionsentscheid umfasst jedoch nicht einzig den blossen Verleihungsakt. Vielmehr werden neben den Rechten insbesondere auch die Pflichten der Konzessionärin detailliert geregelt. So wird etwa verlangt, dass die Konzessionärin die kantonalen und eidgenössischen Gesetzesbestimmungen über den Wasserbau und die Wasserbaupolizei einzuhalten und die Anlagen gemäss den geltenden Vorschriften für den Umwelt-, Natur- und Landschaftsschutz zu betreiben hat. Diese Aspekte sind justiziabel und weisen keinen vorwiegend politischen Charakter auf. Somit ist in einem gerichtlichen Verfahren zu prüfen, ob das Vorhaben der einschlägigen Gesetzgebung, insbesondere den Vorgaben des Bau-, Planungs- und Umweltrechts entspricht. Dass die erstinstanzliche Rechtsanwendung im Konzessionsentscheid des Landrats erfolgte, ändert daran nichts (vgl. RUTH HERZOG, Auswirkungen auf die Staats- und Verwaltungsrechtspflege in den Kantonen, in: Neue Bundesrechtspflege, Pierre Tschannen [Hrsg.], 2007, S. 105). Im konkreten Fall ist namentlich gerichtlich zu prüfen, ob - wie von den Beschwerdeführern geltend gemacht - die Mindestrestwassermenge mit 2'000 Liter pro Sekunde zu tief festgesetzt wurde und hierdurch die Bestimmungen von Art. 29 ff. des Gewässerschutzgesetzes vom 24. Januar 1991 (GSchG; SR 814.20) betreffend die Sicherung angemessener Restwassermengen falsch angewendet wurden (vgl. insoweit auch BGE 126 II 283 ). Zusammenfassend ist damit festzuhalten, dass der angefochtene Konzessionsentscheid mit seinen detaillierten, gerichtlich überprüfbaren Regelungen keinen Entscheid "mit vorwiegend politischem Charakter" darstellt, für welche der Kanton Glarus anstelle eines Gerichts den Landrat als unmittelbare Vorinstanz des Bundesgerichts einsetzen könnte. BGE 136 II 436 S. 440</w:t>
      </w:r>
    </w:p>
    <w:p>
      <w:r>
        <w:rPr>
          <w:b/>
        </w:rPr>
        <w:t>E. 1.4</w:t>
      </w:r>
    </w:p>
    <w:p>
      <w:r>
        <w:t>Angesichts der fehlenden Letztinstanzlichkeit des angefochtenen Entscheids ist auf die Beschwerde nicht einzutreten ( Art. 86 Abs. 2 und 3 BGG ). Demzufolge ist nicht auf die weiteren Anträge und Rügen der Beschwerdeführer einzugehen. Mangels bundesgerichtlicher Zuständigkeit ist insbesondere nicht zu entscheiden, ob es bundesrechtswidrig ist, den Landrat als erstinstanzlich zuständige Behörde vorzusehen. Zur Beurteilung öffentlich-rechtlicher Angelegenheiten ist auf kantonaler Ebene das Verwaltungsgericht zuständig (vgl. Art. 17 ff. des Gesetzes vom 6. Mai 1990 über die Gerichtsorganisation des Kantons Glarus [GS III A/2]). Da die Sache dort bereits hängig ist, ist von einer förmlichen Überweisung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