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281</w:t>
      </w:r>
    </w:p>
    <w:p>
      <w:r>
        <w:t>Bundesgericht (BGE), 2010-01-01, DE</w:t>
      </w:r>
    </w:p>
    <w:p>
      <w:r>
        <w:rPr>
          <w:b/>
        </w:rPr>
        <w:t xml:space="preserve">Quelle: </w:t>
      </w:r>
      <w:r>
        <w:t>https://mcp.opencaselaw.ch/entscheid/bge_BGE_136_II_281</w:t>
      </w:r>
    </w:p>
    <w:p>
      <w:r>
        <w:t>FR: ATF 136 II 281</w:t>
      </w:r>
    </w:p>
    <w:p>
      <w:r>
        <w:t>IT: DTF 136 II 281</w:t>
      </w:r>
    </w:p>
    <w:p>
      <w:pPr>
        <w:pStyle w:val="Heading2"/>
      </w:pPr>
      <w:r>
        <w:t>Regeste</w:t>
      </w:r>
    </w:p>
    <w:p>
      <w:r>
        <w:t>Regeste Art. 89 Abs. 1 und Art. 111 Abs. 1 BGG; Art. 33 Abs. 3 lit. a RPG; Art. 11 Abs. 2 USG; Beschwerde- und Einspracheberechtigung von Anwohnern einer Deponie. Personen, die an der Zufahrtsstrasse zur Deponie wohnen und den zusätzlichen Lastwagenverkehr deutlich wahrnehmen können, sind befugt, Rechtsmittel gegen das Vorhaben zu ergreifen. Gestützt auf das Vorsorgeprinzip ist eine Erschliessungsachse zu wählen, die unter den Gesichtspunkten der Lärm- und Luftbelastung, der Verkehrssicherheit und der Rücksichtnahme auf bestehende Siedlungen zu möglichst wenig Beeinträchtigungen führt (E. 2.5.3). Der zusätzliche Lastwagenverkehr verändert die Verkehrszusammensetzung und ist deutlich wahrnehmbar, auch wenn sich der Beurteilungspegel rein rechnerisch um weniger als 1 dB(A) erhöht (E. 2.5.4).</w:t>
      </w:r>
    </w:p>
    <w:p>
      <w:r>
        <w:t>Regeste Art. 89 al. 1 et art. 111 al. 1 LTF; art. 33 al. 3 let. a LAT; art. 11 al. 2 LPE; droit de recours et d'opposition d'habitants voisins d'une décharge. Les personnes qui habitent le long de la route d'accès à la décharge et peuvent percevoir nettement le trafic poids lourds supplémentaire, ont qualité pour contester le projet. En vertu du principe de prévention, il y a lieu de choisir l'accès le moins dommageable possible du point de vue des charges de bruit et de polluants atmosphériques, de la sécurité du trafic, et en tenant compte de l'habitat existant (consid. 2.5.3). Le trafic poids lourds supplémentaire modifie la composition du trafic et est nettement perceptible, même si, d'un point de vue purement arithmétique, l'élévation du niveau de bruit est inférieure à 1 dB(A) (consid. 2.5.4).</w:t>
      </w:r>
    </w:p>
    <w:p>
      <w:r>
        <w:t>Regesto Art. 89 cpv. 1 e art. 111 cpv. 1 LTF; art. 33 cpv. 3 lett. a LPT; art. 11 cpv. 2 LPAmb; diritto di ricorso e di opposizione degli abitanti vicini a una discarica. Le persone che abitano lungo la strada di accesso a una discarica e che possono percepire chiaramente il rumore del traffico pesante supplementare sono legittimate a contestare il progetto. Sulla base del principio della prevenzione occorre scegliere l'accesso che comporta i minori pregiudizi possibili sotto i punti di vista dell'inquinamento fonico ed atmosferico e della sicurezza della circolazione, tenendo conto degli insediamenti esistenti (consid. 2.5.3). Il traffico pesante supplementare modifica il tipo di circolazione ed è chiaramente percettibile, anche se, dal profilo puramente aritmetico, il livello di valutazione del rumore ammonta a meno di 1 dB(A) (consid. 2.5.4).</w:t>
      </w:r>
    </w:p>
    <w:p>
      <w:pPr>
        <w:pStyle w:val="Heading2"/>
      </w:pPr>
      <w:r>
        <w:t>Erwägungen</w:t>
      </w:r>
    </w:p>
    <w:p>
      <w:r>
        <w:rPr>
          <w:b/>
        </w:rPr>
        <w:t>E. 2.1</w:t>
      </w:r>
    </w:p>
    <w:p>
      <w:r>
        <w:t>Gemäss Art. 33 Abs. 3 lit. a RPG (SR 700) gewährleistet das kantonale Recht gegen Nutzungspläne und raumplanerische Verfügungen (z.B. Baubewilligungen gemäss Art. 22 RPG ) die Legitimation mindestens im gleichen Umfang wie für die Beschwerde in öffentlich-rechtlichen Angelegenheiten an das Bundesgericht. Ferner schreibt Art. 111 BGG die Einheit des Verfahrens vor: Wer zur BGE 136 II 281 S. 284 Beschwerde an das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(vgl. Urteil des Bundesgerichts 1C_379/2008 vom 12. Januar 2009 E. 3.2 mit Hinweisen). Zur Beurteilung, ob das Verwaltungsgericht die Beschwerdeführer vom Rechtsmittel ausschliessen durfte, ist im vorliegenden Fall die Beschwerdeberechtigung nach den Grundsätzen von Art. 89 Abs. 1 BGG , welche mit denjenigen des bisherigen Art. 103 lit. a OG übereinstimmen, zu prüfen. Sind die Beschwerdeführer befugt, gegen einen Sachentscheid über das umstrittene Vorhaben beim Bundesgericht Beschwerde zu führen, so müssen die Vorinstanzen auf ihr Rechtsmittel eintreten, soweit die übrigen formellen Voraussetzungen erfüllt sind.</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Die Voraussetzungen von Art. 89 Abs. 1 lit. b und c BGG hängen eng zusammen. Insgesamt kann insoweit an die Grundsätze, die zur Legitimationspraxis bei der Verwaltungsgerichtsbeschwerde nach Art. 103 lit. a OG entwickelt worden sind, angeknüpft werden ( BGE 133 II 400 E. 2.2 S. 404 f. mit Hinweisen).</w:t>
      </w:r>
    </w:p>
    <w:p>
      <w:r>
        <w:rPr>
          <w:b/>
        </w:rPr>
        <w:t>E. 2.3</w:t>
      </w:r>
    </w:p>
    <w:p>
      <w:r>
        <w:t>Die Behauptung allein, jemand sei von den Folgen einer Baubewilligung betroffen, genügt nicht, um die Beschwerdebefugnis zu begründen. Vielmehr muss aufgrund des konkreten Sachverhalts das BGE 136 II 281 S. 285 besondere Berührtsein und das schutzwürdige Interesse glaubhaft erscheinen.</w:t>
      </w:r>
    </w:p>
    <w:p>
      <w:r>
        <w:rPr>
          <w:b/>
        </w:rPr>
        <w:t>E. 2.3.1</w:t>
      </w:r>
    </w:p>
    <w:p>
      <w:r>
        <w:t>Ein Kriterium für die Beurteilung der Beschwerdebefugnis ist die räumliche Distanz des Nachbarn zum umstrittenen Bauvorhaben, wobei es nicht auf abstrakt bestimmte Distanzwerte ankommt (vgl. Urteil des Bundesgerichts 1C_133/2008 vom 6. Juni 2008 E. 2.4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 BGE 133 II 181 E. 3.2.2 mit Hinweisen). In dicht besiedelten Gebieten kann somit grundsätzlich sehr vielen Personen die Beschwerdelegitimation zukommen, ohne dass von einer unzulässigen Popularbeschwerde gesprochen werden müsste ( BGE 121 II 171 E. 2b S. 174; BGE 121 II 176 E. 2b S. 178; BGE 120 Ib 378 E. 4d S. 388; BGE 110 Ib 99 E. 1c S. 102; Urteil des Bundesgerichts 1A.98/1994 vom 28. März 1995 E. 2b, in: ZBl 96/1995 S. 528 f.).</w:t>
      </w:r>
    </w:p>
    <w:p>
      <w:r>
        <w:rPr>
          <w:b/>
        </w:rPr>
        <w:t>E. 2.3.2</w:t>
      </w:r>
    </w:p>
    <w:p>
      <w:r>
        <w:t>Wird die Einsprache- und Rechtsmittelbefugnis aus den Immissionen des Zubringerverkehrs abgeleitet, so müssen diese für den Beschwerdeführer deutlich wahrnehmbar sein, damit er zur Beschwerde legitimiert ist ( BGE 113 Ib 225 E. 1c S. 228 f.; BGE 110 Ib 99 E. 1c S. 102).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 BGE 112 Ib 154 E. 3 S. 159 mit Hinweis). Das Bundesgericht prüft die Legitimationsvoraussetzungen in einer Gesamtwürdigung anhand der im BGE 136 II 281 S. 286 konkreten Fall vorliegenden tatsächlichen Verhältnisse. Es stellt nicht schematisch auf einzelne Kriterien (wie z.B. Distanz zum Vorhaben, Sichtverbindung etc.) ab. So hat das Bundesgericht die Beschwerdeberechtigung verneint in Bezug auf Personen, die in einer Entfernung von rund 250 m bis 1,7 km vom an zentraler Lage in der Innenstadt von Zürich geplanten Casinobetrieb wohnten, weil keine deutlich wahrnehmbare zusätzliche Lärmimmissionen an den bereits vorbelasteten Strassenabschnitten zu erwarten waren (Urteil des Bundesgerichts 1C_405/2008 vom 18. März 2009). In gleicher Weise wurde die Beschwerdelegitimation verneint beim Zufahrtsverkehr zu einer Kiesgrube, weil sich das Grundstück der Beschwerdeführerin in einem hinreichenden Abstand von 60 m zur Kieswerkstrasse jenseits einer Böschung sowie eines kleinen Waldsaums befand, sodass die Immissionen aus dem Kiesgrubenverkehr für sie nicht mehr deutlich wahrnehmbar waren (Urteil des Bundesgerichts 1A.77/2000 vom 7. Februar 2001 E. 2d). In Bezug auf Anwohner der Zufahrt zu einer Tongrube, in welcher eine Inertstoffdeponie eingerichtet werden sollte, bejahte das Bundesgericht die Einsprache- und Beschwerdeberechtigung (Urteil 1C_362/2008 vom 27. April 2009). Ebenfalls bejaht wurde die Legitimation bei Personen, welche ungefähr einen Kilometer vor der Einfahrt in ein Kiesgrubengelände wohnten, wenn während 40 bis 50 Jahren durchschnittlich mit 120 Hin- und Rückfahrten pro Tag zu rechnen war ( BGE 113 Ib 225 E. 1c S. 228 f.). Bei Lärmimmissionen des Verkehrs zu einem regionalen Einkaufszentrum bezeichnete das Bundesgericht die Bejahung der Legitimation bei einer Verkehrszunahme von 10 % als recht- und zweckmässig. Dabei wurde davon ausgegangen, dass eine Steigerung des durchschnittlichen täglichen Verkehrs (DTV) um 25 % zu einer Erhöhung des Verkehrslärmpegels um 1dB(A) führte und eine solche wahrgenommen werden könne (Urteil des Bundesgerichts 1A.148/2005 vom 20. Dezember 2005 E. 3.5 f., in: ZBl 107/2006 S. 609; URP 2006 S. 144).</w:t>
      </w:r>
    </w:p>
    <w:p>
      <w:r>
        <w:rPr>
          <w:b/>
        </w:rPr>
        <w:t>E. 2.4</w:t>
      </w:r>
    </w:p>
    <w:p>
      <w:r>
        <w:t>Die Beschwerdeführer leiten ihre Einsprache- und Beschwerdeberechtigung nicht nur aus der nahen räumlichen Beziehung zum streitbetroffenen Vorhaben als solchem ab, sondern insbesondere aus der wegen des Deponieverkehrs zu erwartenden Zunahme des schweren Lastwagenverkehrs und den damit verbundenen Immissionen an den betroffenen Strassenabschnitten. Als Anwohner seien sie von der Zunahme des Lastwagenverkehrs in schutzwürdigen Interessen direkt und stärker betroffen als die Allgemeinheit und somit zur Einsprache und Ergreifung weiterer Rechtsmittel befugt. BGE 136 II 281 S. 287 Auch das Verwaltungsgericht geht davon aus, die Beschwerdeführer von Risch wohnten bezüglich der Erschliessung der geplanten Deponie an kritischen Stellen, weil die zu ihren Liegenschaften führende Kantonsstrasse bisher namentlich durch Lastwagen wenig befahren gewesen sei. Unter Berücksichtigung des Deponieprojekts sei im Jahresdurchschnitt über 365 Tage beim Stotzenacker neu mit einer Steigerung des DTV um 8.06 % zu rechnen bzw. mit einer Steigerung pro Tag von bisher 670 Fahrzeugen um 60 Lastwagen. Auf der Strecke Landhus-Stotzenacker sei eine Steigerung des DTV von 2.28 % bzw. eine Steigerung pro Tag von bisher 2'500 Fahrzeugen um 57 Lastwagen zu erwarten. Beim Stotzenacker ergebe sich eine Frequenz an 220 Betriebstagen mit je bloss 8 Betriebsstunden von täglich knapp 100 Fahrten bzw. von stündlich rund 12 Fahrten und beim Seefeld etwas weniger. Beim Strassenverkehrslärm sei die Erhöhung des Beurteilungspegels um 1 dB(A) gerade noch wahrnehmbar. Diese Zunahme entspreche einer Steigerung des durchschnittlichen täglichen Verkehrsaufkommens um rund 25 %. Der prognostizierte Mehrverkehr liege unter 10 %.</w:t>
      </w:r>
    </w:p>
    <w:p>
      <w:r>
        <w:rPr>
          <w:b/>
        </w:rPr>
        <w:t>E. 2.5</w:t>
      </w:r>
    </w:p>
    <w:p>
      <w:r>
        <w:t>Das Bundesamt für Umwelt (BAFU) weist zutreffend darauf hin, dass die vom Verwaltungsgericht genannten Erfahrungsregeln, zu welchen sich auch das Bundesgericht geäussert hat (s. E. 2.3.2), für Situationen mit gleich bleibender Verkehrszusammensetzung gelten. Beim vorliegend zu beurteilenden Deponieverkehr ändere sich auf den betroffenen Strassen die Verkehrszusammensetzung, weil ausschliesslich der Lastwagen-Anteil zunehme. Die Lärmemissionen eines Lastwagens entsprächen denjenigen von 10 bis 15 Personenwagen. Zudem ändere sich durch den erhöhten Schwerverkehrsanteil die akustische Qualität des Verkehrsgeräusches. Diese Veränderung sei wahrnehmbar, selbst wenn die Erhöhung des Beurteilungspegels unter 1 dB(A) liege. Die vom Verwaltungsgericht genannten Erfahrungsregeln seien deshalb im vorliegenden Zusammenhang nicht anwendbar.</w:t>
      </w:r>
    </w:p>
    <w:p>
      <w:r>
        <w:rPr>
          <w:b/>
        </w:rPr>
        <w:t>E. 2.5.1</w:t>
      </w:r>
    </w:p>
    <w:p>
      <w:r>
        <w:t>Der bundesgerichtliche Augenschein hat gezeigt, dass die Kantonsstrasse, von welcher die Deponiezufahrt abzweigt und an welcher ein Teil der Beschwerdeführer wohnt, heute kaum von Lastwagen befahren wird. Der Schwerverkehr zwischen Rotkreuz und Küssnacht a.R. wird im Wesentlichen über die Autobahn N 4 abgewickelt. Der Deponiebetrieb hängt zu einem beträchtlichen Teil von der Lieferung des Deponieguts über die Kantonsstrasse (Küssnachterstrasse) ab. Gemäss dem Umweltverträglichkeitsbericht (Kapitel 4.3 BGE 136 II 281 S. 288 Verkehrsgrundlagen), welcher den vorinstanzlichen Entscheiden zugrunde liegt, sollten über 90 % der Anlieferungen von Süden (Autobahnausfahrt Küssnacht a.R.) her erfolgen. Die Zufahrt aus Süden war via Kantonsstrasse, die Wegfahrt via Lendiswilerstrasse vorgesehen. Die übrigen 10 % der Fahrten wären Richtung Nord über die Kantonsstrasse Holzhäusern-Risch erfolgt. Der Regierungsrat Zug entschied am 30. September 2008 im Rahmen des Rechtsmittel- und Genehmigungsverfahrens, dass die Erschliessung ohne Inanspruchnahme der Lendiswilerstrasse in Meierskappel (Gemeindestrasse) festzulegen sei, weil diese Strasse den gesetzlichen Anforderungen nicht entspreche. Nach dem genannten Entscheid des Regierungsrats muss die Deponiebetreiberin die Lieferanten verpflichten, die Deponie auf dem kürzesten Weg vom übergeordneten Verkehrsnetz anzufahren und die Wegfahrt ebenso zu gestalten. Danach würden weiterhin rund 90 % des Deponieverkehrs von bzw. nach Süden erfolgen, und zwar einzig über die Kantonsstrasse, nachdem die Lendiswilerstrasse nicht mehr zur Verfügung steht.</w:t>
      </w:r>
    </w:p>
    <w:p>
      <w:r>
        <w:rPr>
          <w:b/>
        </w:rPr>
        <w:t>E. 2.5.2</w:t>
      </w:r>
    </w:p>
    <w:p>
      <w:r>
        <w:t>In Abweichung von diesem nach dem Umweltverträglichkeitsbericht wahrscheinlichen Verkehrsablauf spricht sich der Regierungsrat für eine Aufteilung des Lastwagenverkehrs auf drei Achsen aus: Vor dem Hintergrund, dass der Hauptanteil des Deponieguts aus dem nördlichen Teil des Einzugsgebiets stamme, wo sich rund 81 % der Bevölkerung und der Arbeitsplätze befinden, soll sich der Deponieverkehr nach Ansicht des Regierungsrats gleichmässig auf zwei Achsen von Norden und eine Achse von Süden aufteilen. Zur Verfügung stehen von Norden her ab Autobahnanschluss Rotkreuz die Route Holzhäusern-Buonas-Risch und die Route Rotkreuz-Meierskappel-Risch. Von Süden wird die Deponie ab Autobahnanschluss Küssnacht a.R. über die Kantonsstrasse Richtung Risch erreicht. Das ergäbe für jede dieser Routen einen Anteil am gesamten Lastwagenverkehr von etwa 30 % (je 7'150 Fahrten pro Jahr). Für diese Verkehrsverteilung spreche, dass der überwiegende Teil des Deponieguts aus dem Nordteil des Einzugsgebiets stamme. Für Lastwagen aus diesem Gebiet würde der Umweg von 5 km über die Autobahnausfahrt Küssnacht a.R. Mehrkosten von ca. Fr. 40.- pro Fahrt bedeuten (Schwerverkehrsabgabe und LKW-Mehrbenützung). Dies führe bei einer voraussichtlichen Betriebsdauer von acht Jahren zu Zusatzkosten von insgesamt 5,75 Mio. Franken. Es sei somit aus wirtschaftlichen Gründen angezeigt, die erwähnten kürzeren Zufahrtsrouten von Norden her zu wählen. Ein Verkehrsanteil aus Süden von BGE 136 II 281 S. 289 wesentlich über 30 % erscheine somit als unwahrscheinlich. Da sich der Verkehr auf die drei beschriebenen Achsen gleichmässig verteile, sei auch keine relevante zusätzliche Belastung der Anwohner zu erwarten.</w:t>
      </w:r>
    </w:p>
    <w:p>
      <w:r>
        <w:rPr>
          <w:b/>
        </w:rPr>
        <w:t>E. 2.5.3</w:t>
      </w:r>
    </w:p>
    <w:p>
      <w:r>
        <w:t>Diese Ausführungen des Regierungsrats im bundesgerichtlichen Verfahren sind nicht mit dem Umweltverträglichkeitsbericht, der zum Deponievorhaben ausgearbeitet wurde, vereinbar. Dieser Bericht geht von einem Verkehrsanteil von Süden her in der Grössenordnung von 90 % aus. Die Feststellungen im Umweltverträglichkeitsbericht liegen auch den vorinstanzlichen Entscheiden zugrunde, soweit sie nicht - wie hinsichtlich der Benutzung der Lendiswilerstrasse - im Laufe des Verfahrens geändert wurden. Die Darlegungen des Regierungsrats zur gleichmässigen Aufteilung des Verkehrs auf drei Achsen finden in den Projektunterlagen keine Stütze. Die Erschliessung über die Kantonsstrasse und den Autobahnanschluss Küssnacht a.R. gewährleistet im Vergleich zu den beiden anderen Achsen die direkteste und sicherste Verbindung zum übergeordneten Strassennetz. Sie führt unter den Gesichtspunkten der Lärm- und Luftbelastung, der Verkehrssicherheit und der Rücksichtnahme auf bestehende Siedlungen zu deutlich weniger Beeinträchtigungen als die anderen vom Regierungsrat genannten Erschliessungsachsen. Es ist somit im Hinblick auf das in Art. 11 Abs. 2 USG (SR 814.01) verankerte Vorsorgeprinzip bundesrechtlich geboten, den Deponieverkehr im Wesentlichen über den Autobahnanschluss Küssnacht a.R. abzuwickeln. Diese Erkenntnis liegt zu Recht auch dem Umweltverträglichkeitsbericht zugrunde. Eine gleichmässige Aufteilung der strassenmässigen Erschliessung auf drei Achsen, wovon zwei wegen ihrer Lage im Siedlungsgebiet von Meierskappel, Rotkreuz und Buonas/Risch für die Aufnahme des Deponieverkehrs nicht geeignet sind, ist mit dem Bundesumweltschutzrecht nicht vereinbar. Die Deponiebetreiberin wird deshalb im weiteren Verfahren auch verpflichtet werden müssen, die Zu- und Wegfahrten im Wesentlichen über diese Hauptachse von Küssnacht a.R. zu organisieren.</w:t>
      </w:r>
    </w:p>
    <w:p>
      <w:r>
        <w:rPr>
          <w:b/>
        </w:rPr>
        <w:t>E. 2.5.4</w:t>
      </w:r>
    </w:p>
    <w:p>
      <w:r>
        <w:t>Der auf der Kantonsstrasse ab Autobahnausfahrt Küssnacht a.R. bis zur Abzweigung der Stockeristrasse entstehende Lastwagenverkehr erweist sich nach den zutreffenden Darlegungen des BAFU angesichts der erheblichen Veränderung der Verkehrszusammensetzung als deutlich wahrnehmbar, auch wenn die Lärmzunahme rein rechnerisch unter 1 dB(A) liegt. Dies trifft insbesondere auf die Liegenschaften Stotzenackerweg 1 und 3 zu, welche von der BGE 136 II 281 S. 290 Lärmzunahme bei der Abzweigung der Stockeristrasse am stärksten betroffen sind. Diese Liegenschaften befinden sich mit direkter Sicht- und Hörverbindung leicht erhöht oberhalb des genannten Kreuzungsbereichs, über welchen 12 Lastwagen pro Stunde die Deponie bedienen. Eine durchschnittliche Lastwagenfrequenz von 5 Minuten ist in dieser ruhigen Wohngegend zweifellos wahrnehmbar, weshalb zumindest den in den genannten Liegenschaften wohnenden beschwerdeführenden C. (Beschwerdeführerin 3) sowie Eheleuten H. (Beschwerdeführer 8) die Einsprache- und Beschwerdebefugnis nicht abgesprochen werden durfte. Die Legitimation dieser Anwohner ist sowohl für das Nutzungsplanungsverfahren als auch für das Verfahren der Errichtungsbewilligung zu bejahen. Unter diesen Umständen kann offenbleiben, ob auch den übrigen Beschwerdeführenden, deren Wohnhäuser etwas weiter von der Verzweigung Küssnachterstrasse/Stockeristrasse entfernt liegen, die Einsprache- und Beschwerdebefugnis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