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74</w:t>
      </w:r>
    </w:p>
    <w:p>
      <w:r>
        <w:t>Bundesgericht (BGE), 2009-12-15, FR</w:t>
      </w:r>
    </w:p>
    <w:p>
      <w:r>
        <w:rPr>
          <w:b/>
        </w:rPr>
        <w:t xml:space="preserve">Quelle: </w:t>
      </w:r>
      <w:r>
        <w:t>https://mcp.opencaselaw.ch/entscheid/bge_BGE_136_III_74</w:t>
      </w:r>
    </w:p>
    <w:p>
      <w:r>
        <w:t>FR: ATF 136 III 74</w:t>
      </w:r>
    </w:p>
    <w:p>
      <w:r>
        <w:t>IT: DTF 136 III 74</w:t>
      </w:r>
    </w:p>
    <w:p>
      <w:pPr>
        <w:pStyle w:val="Heading2"/>
      </w:pPr>
      <w:r>
        <w:t>Regeste</w:t>
      </w:r>
    </w:p>
    <w:p>
      <w:r>
        <w:t>Regeste Miete; quartierübliche Mietzinse (Art. 269a lit. a OR und Art. 11 Abs. 1 VMWG). Definition des Quartiers im Sinne von Art. 269a lit. a OR. Die Umgrenzung des Territoriums, das als Quartier zu betrachten ist, hängt in erster Linie von den tatsächlichen und historischen Verhältnissen des Ortes ab. Es obliegt den kantonalen Behörden, bei Vorliegen besonderer Umstände das Quartier unabhängig von den Kriterien gemäss Art. 11 Abs. 1 VMWG zu umreissen. Das Bundesgericht greift dabei nur zurückhaltend ein (E. 2). Mit der Mietsache vergleichbare Wohnräume im Sinne von Art. 11 Abs. 1 VMWG. Bei einem Abstand der Baujahre von mehr als 20 Jahren sind Liegenschaften nicht mehr als in die gleiche Bauperiode fallend zu betrachten. Das Kriterium der Anzahl der Zimmer ist nicht notwendigerweise ausschlaggebend, wenn grosse Wohnungen zum Vergleich stehen. Erfordernis eines konkreten Vergleichs gestützt auf die genaue Angabe der angewendeten Kriterien (E. 3).</w:t>
      </w:r>
    </w:p>
    <w:p>
      <w:r>
        <w:t>Regeste Bail à loyer; loyers usuels du quartier (art. 269a let. a CO et art. 11 al. 1 OBLF). Définition du quartier au sens de l'art. 269a let. a CO. La délimitation de la portion de territoire à prendre en compte à titre de quartier dépend essentiellement de la situation de fait et de l'histoire des lieux. Il appartient à l'autorité cantonale de cerner le quartier dans un cas particulier, indépendamment des critères de comparaison fixés à l'art. 11 al. 1 OBLF. Le Tribunal fédéral n'intervient qu'avec retenue (consid. 2). Logements comparables à la chose louée au sens de l'art. 11 al. 1 OBLF. Une différence de plus de vingt ans ne permet pas de ranger deux immeubles dans la même période de construction. Le critère du nombre de pièces n'est pas nécessairement déterminant lorsque la comparaison porte sur des appartements de grande dimension. Exigence d'une comparaison concrète, fondée sur l'indication exacte des critères utilisés (consid. 3).</w:t>
      </w:r>
    </w:p>
    <w:p>
      <w:r>
        <w:t>Regesto Locazione; pigioni in uso nel quartiere (art. 269a lett. a CO e art. 11 cpv. 1 OLAL). Definizione di quartiere ai sensi dell'art. 269a lett. a CO. La delimitazione della porzione di territorio da prendere in considerazione a titolo di quartiere dipende essenzialmente dalla situazione di fatto e dalla storia dei luoghi. Spetta all'autorità cantonale circoscrivere il quartiere in un caso particolare, indipendentemente dai criteri di paragone posti dall'art. 11 cpv. 1 OLAL. Il Tribunale federale interviene con riserbo (consid. 2). Locali d'abitazione paragonabili alla cosa locata ai sensi dell'art. 11 cpv. 1 OLAL. Una differenza di oltre vent'anni non permette di classificare due immobili nel medesimo periodo di costruzione. Il criterio del numero dei locali non è necessariamente determinante qualora si tratti di paragonare appartamenti di grandi dimensioni. Necessità di un paragone concreto, fondato sull'indicazione esatta dei criteri utilizzati (consid. 3).</w:t>
      </w:r>
    </w:p>
    <w:p>
      <w:pPr>
        <w:pStyle w:val="Heading2"/>
      </w:pPr>
      <w:r>
        <w:t>Erwägungen</w:t>
      </w:r>
    </w:p>
    <w:p>
      <w:r>
        <w:rPr>
          <w:b/>
        </w:rPr>
        <w:t>E. 2</w:t>
      </w:r>
    </w:p>
    <w:p>
      <w:r>
        <w:t>En premier lieu, la recourante invoque une violation de l' art. 269a let. a CO . Cette disposition précise qu'un loyer n'est en principe pas abusif s'il se situe dans les limites des loyers usuels dans la localité ou dans le quartier.</w:t>
      </w:r>
    </w:p>
    <w:p>
      <w:r>
        <w:rPr>
          <w:b/>
        </w:rPr>
        <w:t>E. 2.1</w:t>
      </w:r>
    </w:p>
    <w:p>
      <w:r>
        <w:t>Un congé motivé, comme en l'espèce, exclusivement par la volonté du bailleur d'obtenir d'un nouveau locataire un loyer plus élevé que le loyer payé par le locataire dont le bail est résilié ne contrevient en principe pas aux règles de la bonne foi (cf. art. 271 al. 1 CO ). Pour être valable, une résiliation dictée par des considérations d'ordre économique ne doit toutefois pas servir de prétexte à la poursuite d'un but illicite. Il faut donc que le bailleur soit en mesure d'exiger du nouveau locataire un loyer supérieur au loyer payé jusque-là par le preneur congédié. En d'autres termes, le congé est annulable si l'application de la méthode de calcul absolue permet d'exclure BGE 136 III 74 S. 77 l'hypothèse que le bailleur puisse majorer légalement le loyer, notamment parce que celui-ci est déjà conforme aux loyers usuels dans le quartier ( art. 269a let. a CO ) (cf. ATF 120 II 105 consid. 3b/bb p. 110; plus récemment, arrêt 4A_472/2007 du 11 mars 2008 consid. 2.1 et 2.2). En l'occurrence, il s'agit de déterminer si une augmentation du loyer est possible en application de la méthode absolue. Ce point n'est pas contesté.</w:t>
      </w:r>
    </w:p>
    <w:p>
      <w:r>
        <w:rPr>
          <w:b/>
        </w:rPr>
        <w:t>E. 2.2</w:t>
      </w:r>
    </w:p>
    <w:p>
      <w:r>
        <w:t>Le grief de la recourante se rapporte à la détermination des loyers usuels dans le quartier. La bailleresse reproche à la Chambre d'appel d'avoir défini de manière trop restrictive la notion de "quartier" figurant à l' art. 269a let. a CO et reprise à l'art. 11 al. 1 de l'ordonnance du 9 mai 1990 sur le bail à loyer et le bail à ferme d'habitations et de locaux commerciaux (OBLF; RS 221.213.11), en retenant un périmètre extrêmement réduit d'environ six hectares, qui correspond à 0,35 % de la surface de la ville de Genève, et en ne tenant aucun compte du découpage administratif de la ville en seize quartiers.</w:t>
      </w:r>
    </w:p>
    <w:p>
      <w:r>
        <w:rPr>
          <w:b/>
        </w:rPr>
        <w:t>E. 2.2.1</w:t>
      </w:r>
    </w:p>
    <w:p>
      <w:r>
        <w:t>Il convient de déterminer ce que la loi entend par quartier, notion qui relève du droit. La référence au quartier mentionné à l' art. 269a let. a CO a été reprise de l' art. 15 al. 1 let. a AMSL (RO 1972 II 1531). Le terme de quartier figure également dans la version allemande de l' art. 269a let. a CO ("quartierüblichen Mietzinse"). Aucune définition ne ressort des textes légaux ni des travaux législatifs. Le Tribunal fédéral n'a guère eu à se pencher sur cette notion. Il a précisé toutefois que des immeubles pouvaient faire partie du même quartier bien qu'ils soient situés dans des secteurs de la ville ayant des codes postaux différents ( ATF 123 III 317 consid. 4b/ee p. 322). Le terme quartier, désignant la quatrième partie d'un tout, a été transposée sur les villes romaines planifiées, qui étaient partagées en quatre parties par deux routes perpendiculaires se croisant en leur milieu( Viertel en allemand). Dans son acception actuelle, le quartier désigne la division administrative d'une ville ou la partie d'une ville, qui a sa physionomie propre et une certaine unité (cf. Le Grand Robert de la langue française). S'il forme un ensemble sur les plans historique, géographique, sociologique ou administratif, un quartier suppose également une certaine étendue et ne peut guère se limiter à quelques immeubles ou pâtés de maisons. Aucun motif ne justifie de retenir à l' art. 269a let. a CO une notion plus restreinte du quartier. En particulier, celui-ci ne se réduit pas à BGE 136 III 74 S. 78 un complexe architectural homogène. A cet égard, l' art. 11 al. 1 OBLF , qui précise comment calculer les loyers usuels du quartier, prescrit de prendre en compte notamment l'emplacement et l'année de construction des objets présentés à la comparaison; cela atteste que, pour faire partie d'un même quartier au sens du droit du bail, les immeubles n'ont pas nécessairement à bénéficier d'une situation semblable, ni à dater de la même période de construction. L'idée est bien plutôt que le quartier couvre une certaine surface et qu'il peut être hétérogène (dans ce sens: PETER HIGI, Zürcher Kommentar, 4 e éd. 1998, n° 34 ad art. 269a CO ). Il est à relever par ailleurs que l' art. 269a let. a CO met sur le même plan "localité" et "quartier". Or, par localité, on entend un village ou une petite ville, soit précisément une entité pouvant avoir une certaine étendue et comporter différents types de bâtiments. Le découpage administratif de la ville ou la division en quartiers historiques sera souvent déterminant. Mais des exceptions à cette règle sont envisageables, par exemple lorsque l'objet dont le loyer doit être examiné est situé à la limite de deux quartiers (cf. RAYMOND BISANG ET AL., Das schweizerische Mietrecht, Kommentar, 3 e éd. 2008, n° 11 ad art. 269a CO , p. 554; HIGI, op. cit., n os 33 et 35 ad art. 269a CO ). Il n'est ainsi guère possible de poser une règle générale à ce sujet; par rapport à un objet donné, la délimitation de la portion de territoire à prendre en compte à titre de quartier dépendra essentiellement de la situation de fait et de l'histoire des lieux. Pour ces motifs, l'autorité cantonale est, de par sa connaissance des circonstances locales, la mieux à même de cerner le quartier dans un cas particulier. Le Tribunal fédéral n'interviendra qu'avec retenue, lorsqu'il ressort de la décision cantonale que l'autorité précédente a méconnu la notion de quartier ou n'en a pas tenu compte, qu'elle s'est fondée sur des faits qui ne devaient jouer aucun rôle ou, au contraire, qu'elle n'a pas pris en considération des faits pertinents, ou encore qu'elle a abouti à un résultat manifestement erroné (cf. ATF 132 III 758 consid. 3.3. i.f. p. 762).</w:t>
      </w:r>
    </w:p>
    <w:p>
      <w:r>
        <w:rPr>
          <w:b/>
        </w:rPr>
        <w:t>E. 2.2.2</w:t>
      </w:r>
    </w:p>
    <w:p>
      <w:r>
        <w:t>En l'espèce, la Chambre d'appel a examiné uniquement neuf objets comparatifs situés dans le périmètre précité, dont ne fait du reste pas partie la rue Charles-Sturm où se trouve l'appartement occupé par les intimés; ce dernier est en bordure du boulevard des Tranchées, lequel délimite le périmètre en question. La cour cantonale a exclu deux appartements situés dans le périmètre retenu, au BGE 136 III 74 S. 79 motif qu'ils ne se trouvaient pas à proximité immédiate de rues comportant un trafic automobile important. Elle a considéré au surplus que les autres objets présentés ne relevaient pas du même quartier au sens de l' art. 269a let. a CO et pouvaient d'emblée être éliminés de la comparaison. Le périmètre défini par la Chambre d'appel a la forme d'un quadrilatère irrégulier d'environ 200 mètres sur 400 mètres. Il ne correspond ni à un quartier historique, ni à une entité administrative. Sa superficie est nettement plus restreinte que celle du quartier Centre-Plainpalais-Acacias ou des quartiers adjacents des Eaux-Vives et de Champel. Les secteurs hors de ce périmètre n'ont pas été pris en compte au seul motif qu'ils présentent un tissu urbain différent, comprenant des constructions plus récentes et offrant un caractère plus résidentiel. Ce faisant, la Chambre d'appel a apparemment exclu ces secteurs de la ville sur la base d'une appréciation globale, parce qu'ils semblent moins susceptibles de receler des appartements comparables à celui occupé par les intimés. Il ne s'agit pas là d'un critère définissant le quartier au sens de l' art. 269a let. a CO . Un tel mode de procéder revient à déclarer d'emblée non comparables tous les objets sis dans ces secteurs, sans avoir à examiner concrètement s'ils le sont au regard des critères de l' art. 11 al. 1 OBLF . La Chambre d'appel ne pouvait pas restreindre de la sorte les possibilités de la recourante de présenter des objets comparatifs. Il lui appartenait de définir d'abord le quartier indépendamment des critères de comparaison fixés à l' art. 11 al. 1 OBLF , puis d'examiner, sur la base de ces critères, les objets comparatifs présentés par la recourante qui sont situés dans le quartier tel que précédemment défini. Le grief tiré de la violation de l' art. 269a let. a CO est fondé.</w:t>
      </w:r>
    </w:p>
    <w:p>
      <w:r>
        <w:rPr>
          <w:b/>
        </w:rPr>
        <w:t>E. 3</w:t>
      </w:r>
    </w:p>
    <w:p>
      <w:r>
        <w:t>La recourante reproche également à la Chambre d'appel d'avoir violé l' art. 11 al. 1 OBLF et l' art. 274d al. 3 CO lors de l'examen des neuf objets comparatifs pris en considération. Le moyen n'est pas devenu sans objet. En effet, le Tribunal fédéral peut éventuellement éviter un renvoi et statuer lui-même au fond s'il arrive à la conclusion que cinq de ces neuf objets sont effectivement comparables à l'appartement occupé par les intimés (cf. consid. 3.1 infra).</w:t>
      </w:r>
    </w:p>
    <w:p>
      <w:r>
        <w:rPr>
          <w:b/>
        </w:rPr>
        <w:t>E. 3.1</w:t>
      </w:r>
    </w:p>
    <w:p>
      <w:r>
        <w:t>Selon l' art. 11 OBLF , les loyers déterminants pour la constatation des loyers usuels, dans la localité ou le quartier, sont ceux des logements comparables à la chose louée, quant à leur emplacement, dimension, équipement, état et année de construction (al. 1), à BGE 136 III 74 S. 80 l'exclusion des loyers résultant de ce qu'un bailleur ou un groupe de bailleurs domine le marché (al. 3). En règle générale, le juge doit disposer de cinq éléments de comparaison au moins. Il lui appartient de procéder à des comparaisons concrètes. L'autorité cantonale de dernière instance indiquera exactement les critères sur lesquels elle s'est fondée. Sur cette base, le Tribunal fédéral contrôle librement si les loyers usuels sont établis conformément au droit fédéral ( ATF 123 III 317 consid. 4a p. 319; arrêt 4C.265/2000 du 16 janvier 2001 consid. 4, in SJ 2001 I p. 247). Les loyers de référence doivent eux- mêmes ne pas être abusifs; il est donc nécessaire, en principe, de les adapter aux baisses du taux hypothécaire survenues depuis le moment où ils ont été fixés ( ATF 127 III 411 consid. 5a p. 412 ss). Aux termes de l' art. 274d al. 3 CO , le juge établit d'office les faits et les parties sont tenues de lui soumettre toutes les pièces nécessaires. Selon la jurisprudence relative à cette disposition, le juge n'a pas à instruire d'office le litige lorsqu'un plaideur renonce à expliquer sa position, mais il doit interroger les parties et les informer de leur devoir de collaborer à l'instruction et de fournir des preuves. Si des motifs objectifs le conduisent à soupçonner que les allégations et offres de preuves d'une partie sont lacunaires, il doit inviter cette partie à compléter ses moyens ( ATF 125 III 231 consid. 4a p. 238 s.).</w:t>
      </w:r>
    </w:p>
    <w:p>
      <w:r>
        <w:rPr>
          <w:b/>
        </w:rPr>
        <w:t>E. 3.2</w:t>
      </w:r>
    </w:p>
    <w:p>
      <w:r>
        <w:t>Les neuf éléments de comparaison pris en compte par la cour cantonale doivent être examinés à l'aune de ces principes.</w:t>
      </w:r>
    </w:p>
    <w:p>
      <w:r>
        <w:rPr>
          <w:b/>
        </w:rPr>
        <w:t>E. 3.2.1</w:t>
      </w:r>
    </w:p>
    <w:p>
      <w:r>
        <w:t>La Chambre d'appel a écarté six objets parce qu'ils ne répondaient pas au critère de l'année de construction. Cinq appartements sont situés dans des immeubles construits en 1921 et le bâtiment abritant le sixième logement date de 1931; l'immeuble où logent les intimés ayant été construit en 1893, l'écart avec les exemples présentés est de vingt-huit, respectivement trente-huit ans. Selon la jurisprudence, des immeubles datant des deux premières décennies du vingtième siècle sont comparables sous l'angle de l'année de construction ( ATF 123 III 317 consid. 4b/aa p. 320). Par la suite, le Tribunal fédéral a précisé qu'une différence de plus de vingt ans ne permettait en tout cas pas de ranger deux bâtiments dans la même période de construction (arrêt 4C.40/2001 du 15 juin 2001 consid. 5c/bb). Un assouplissement de la règle des vingt ans ne se justifie pas. En effet, un certain schématisme s'impose dans ce domaine, afin d'assurer la prévisibilité du droit et l'égalité de traitement. BGE 136 III 74 S. 81 C'est dès lors à bon droit que la cour cantonale a éliminé de la comparaison les six exemples précités.</w:t>
      </w:r>
    </w:p>
    <w:p>
      <w:r>
        <w:rPr>
          <w:b/>
        </w:rPr>
        <w:t>E. 3.2.2</w:t>
      </w:r>
    </w:p>
    <w:p>
      <w:r>
        <w:t>Il reste trois objets - désignés sous les n os 11, 21 et 23 des pièces déposées par la bailleresse -, ce qui, en tout état de cause, est insuffisant pour démontrer que le loyer payé par les intimés est inférieur aux loyers usuels du quartier. Cela étant, les trois éléments de comparaison précités appellent les observations suivantes. La Chambre d'appel a écarté l'appartement de 180 m 2 situé dans l'immeuble sis à la route de Florissant yyy (objet n° 11) notamment parce qu'il comporte sept pièces alors que le logement occupé par les intimés n'en a que six. Or, si le nombre de pièces est déterminant lorsqu'il s'agit de comparer des appartements plutôt petits, ce critère l'est beaucoup moins lorsque la comparaison porte sur des appartements de grande dimension. Ainsi, le Tribunal fédéral a jugé que des appartements de 160 m 2 et 171 m 2 , voire de 142 m 2 étaient comparables selon le critère de la dimension, même si les uns comportaient sept pièces et les autres comprenaient six pièces ou six pièces et demie ( ATF 123 III 317 consid. 4b/cc p. 321). En l'espèce, l'objet n° 11, d'une surface de 180 m 2 , ne saurait être exclu de la comparaison avec l'appartement de 174 m 2 loué par les intimés parce qu'il comprend une pièce de plus. La Chambre d'appel a invoqué deux autres motifs pour écarter l'objet n° 11: "différence entre l'état général de l'immeuble (excellent/bon)" et "différence dans l'état de la cuisine (agencée/non agencée)". Faute de description plus précise de l'état réel des immeubles en cause, la présentation sommaire figurant dans l'arrêt attaqué ne répond pas à l'exigence jurisprudentielle d'une comparaison concrète, fondée sur l'indication exacte des critères utilisés. En ce qui concerne la cuisine, les précisions manquent également. Un agencement - dont on ignore s'il est récent ou non - garnissant une cuisine non équipée d'appareils ménagers ne constitue pas une différence notable excluant à elle seule toute comparaison avec un appartement dépourvu de cuisine agencée. Il s'ensuit que la cour de céans n'est pas en mesure de juger si l'objet n° 11 est comparable à l'appartement occupé par les intimés. Les juges genevois ont éliminé de la comparaison l'appartement de six pièces et demie, d'une surface de 144 m 2 , situé dans l'immeuble sis à la rue du Mont-de-Sion zzz (objet n° 21) en raison de BGE 136 III 74 S. 82 l'absence de référence au taux hypothécaire sur la base duquel le loyer avait été fixé. Bien qu'elle n'ait pas relevé d'autre motif excluant une comparaison, la cour cantonale n'a pas invité la recourante à compléter ses allégations avant de fonder sa décision sur cette seule omission. Ce faisant, elle a violé la maxime d'office. La Chambre d'appel a dès lors méconnu le droit fédéral en refusant de prendre en considération l'objet n° 21 pour le motif invoqué. La cour cantonale a écarté l'appartement de six pièces situé à la même adresse que l'objet n° 21 notamment parce que sa surface (136 m 2 ) était environ 20 % inférieure à celle de l'appartement occupé par les intimés (174 m 2 ). Cette conclusion est conforme à la jurisprudence, qui a déjà exclu la comparaison entre un appartement de 171 m 2 et un appartement de 130 m 2 ( ATF 123 III 317 consid. 4b/cc p. 321).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