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605</w:t>
      </w:r>
    </w:p>
    <w:p>
      <w:r>
        <w:t>Bundesgericht (BGE), 2010-01-01, FR</w:t>
      </w:r>
    </w:p>
    <w:p>
      <w:r>
        <w:rPr>
          <w:b/>
        </w:rPr>
        <w:t xml:space="preserve">Quelle: </w:t>
      </w:r>
      <w:r>
        <w:t>https://mcp.opencaselaw.ch/entscheid/bge_BGE_136_III_605</w:t>
      </w:r>
    </w:p>
    <w:p>
      <w:r>
        <w:t>FR: ATF 136 III 605</w:t>
      </w:r>
    </w:p>
    <w:p>
      <w:r>
        <w:t>IT: DTF 136 III 605</w:t>
      </w:r>
    </w:p>
    <w:p>
      <w:pPr>
        <w:pStyle w:val="Heading2"/>
      </w:pPr>
      <w:r>
        <w:t>Regeste</w:t>
      </w:r>
    </w:p>
    <w:p>
      <w:r>
        <w:t>Regeste Art. 190 Abs. 2 lit. a IPRG; internationale Schiedsgerichtsbarkeit; Zusammensetzung des Schiedsgerichts; Ablehnung. Die Erfordernisse der Unabhängigkeit und Unparteilichkeit der Mitglieder eines Schiedsgerichts gelten sowohl für die von den Parteien bezeichneten Schiedsrichter als auch für den Präsidenten des Schiedsgerichts (E. 3.2 und 3.3.1). Das Bundesgericht überprüft die Beachtung dieser Anforderungen, selbst wenn der Schiedsentscheid einstimmig gefällt worden ist (E. 3.3.2). Es trägt dabei den Besonderheiten der Sportschiedsgerichtsbarkeit Rechnung (E. 3.3.3). Falls sich die auf Art. 190 Abs. 2 lit. a IPRG gestützte Rüge als begründet erweist, kann das Bundesgericht selbst über die Ablehnung des betreffenden Schiedsrichters befinden (E. 3.3.4). Beurteilung der Umstände des konkreten Falls (E. 3.4).</w:t>
      </w:r>
    </w:p>
    <w:p>
      <w:r>
        <w:t>Regeste Art. 190 al. 2 let. a LDIP; arbitrage international; composition du tribunal arbitral; récusation. L'indépendance et l'impartialité requises des membres d'un tribunal arbitral s'imposent aussi bien aux arbitres désignés par les parties qu'au président du tribunal arbitral (consid. 3.2 et 3.3.1). Le Tribunal fédéral vérifie le respect de ces exigences même si la sentence a été rendue à l'unanimité (consid. 3.3.2). Ce faisant, il tient compte des spécificités de l'arbitrage sportif (consid. 3.3.3). En cas d'admission du grief fondé sur l'art. 190 al. 2 let. a LDIP, le Tribunal fédéral peut prononcer lui-même la récusation de l'arbitre mis en cause (consid. 3.3.4). Examen des circonstances du cas concret (consid. 3.4).</w:t>
      </w:r>
    </w:p>
    <w:p>
      <w:r>
        <w:t>Regesto Art. 190 cpv. 2 lett. a LDIP; arbitrato internazionale; composizione del tribunale arbitrale; ricusa. L'indipendenza e l'imparzialità richieste dai membri di un tribunale arbitrale valgono sia per gli arbitri designati dalle parti sia per il presidente del tribunale arbitrale (consid. 3.2 e 3.3.1). Il Tribunale federale verifica il rispetto di queste esigenze anche quando il lodo è stato reso all'unanimità (consid. 3.3.2). Facendo ciò tiene conto delle specificità dell'arbitrato sportivo (consid. 3.3.3). In caso di accoglimento della censura fondata sull'art. 190 cpv. 2 lett. a LDIP, il Tribunale federale medesimo può pronunciare la ricusa dell'arbitro messo in questione (consid. 3.3.4). Esame delle circostanze del caso concreto (consid. 3.4).</w:t>
      </w:r>
    </w:p>
    <w:p>
      <w:pPr>
        <w:pStyle w:val="Heading2"/>
      </w:pPr>
      <w:r>
        <w:t>Erwägungen</w:t>
      </w:r>
    </w:p>
    <w:p>
      <w:r>
        <w:rPr>
          <w:b/>
        </w:rPr>
        <w:t>E. 3</w:t>
      </w:r>
    </w:p>
    <w:p>
      <w:r>
        <w:t>Dans un premier moyen, fondé sur l' art. 190 al. 2 let. a LDIP (RS 291), le recourant se plaint de la composition irrégulière de la Formation qui a rendu la sentence attaquée.</w:t>
      </w:r>
    </w:p>
    <w:p>
      <w:r>
        <w:rPr>
          <w:b/>
        </w:rPr>
        <w:t>E. 3.1</w:t>
      </w:r>
    </w:p>
    <w:p>
      <w:r>
        <w:t>Le 29 octobre 2009, le recourant, se conformant aux prescriptions de l'art. R34 du Code de l'arbitrage en matière de sport (&lt;http://www.tas-cas.org/arbitragereglement&gt;; ci-après: Code), avait également déposé une demande de récusation visant l'arbitre Haas auprès du CIAS. Le Bureau de cet organisme a rejeté ladite demande par décision du 23 novembre 2009. Emanant d'un organisme privé, cette décision, qui ne pouvait pas faire l'objet d'un recours direct au Tribunal fédéral (cf., ci-dessus, let. B.c), ne saurait lier ce dernier. La Cour de céans peut donc revoir librement si les circonstances invoquées à l'appui de la demande de récusation sont de nature à fonder le grief de désignation irrégulière de la Formation du TAS comprenant l'arbitre incriminé ( ATF 128 III 330 consid. 2.2 p. 332).</w:t>
      </w:r>
    </w:p>
    <w:p>
      <w:r>
        <w:rPr>
          <w:b/>
        </w:rPr>
        <w:t>E. 3.2.1</w:t>
      </w:r>
    </w:p>
    <w:p>
      <w:r>
        <w:t>Un arbitre doit, à l'instar d'un juge étatique, présenter des garanties suffisantes d'indépendance et d'impartialité ( ATF 125 I 389 consid. 4a; ATF 119 II 271 consid. 3b et les arrêts cités). Le non-respect de cette règle conduit à une désignation irrégulière relevant de l' art. 190 al. 2 let. a LDIP ( ATF 118 II 359 consid. 3b). Pour dire si un arbitre présente de telles garanties, il faut se référer aux principes constitutionnels développés au sujet des tribunaux étatiques ( ATF 125 I 389 consid. 4a; ATF 118 II 359 consid. 3c p. 361). Il convient, toutefois, de tenir compte des spécificités de l'arbitrage, et singulièrement de l'arbitrage international, lors de l'examen des circonstances du cas concret ( ATF 129 III 445 consid. 3.3.3 p. 454).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BGE 136 III 605 S. 609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L'impartialité subjective - qui est présumée jusqu'à preuve du contraire - assure à chacun que sa cause sera jugée sans acception de personne ( ATF 129 III 445 consid. 3.3.3 p. 454; ATF 128 V 82 consid. 2a p. 84 et les arrêts cités). L'impartialité objective tend notamment à empêcher la participation du même magistrat à des titres divers dans une même cause ( ATF 131 I 113 consid. 3.4 p. 117) et à garantir l'indépendance du juge à l'égard de chacun des plaideurs (arrêt 4P.187/2006 du 1 er novembre 2006 consid. 3.2.2).</w:t>
      </w:r>
    </w:p>
    <w:p>
      <w:r>
        <w:rPr>
          <w:b/>
        </w:rPr>
        <w:t>E. 3.2.2</w:t>
      </w:r>
    </w:p>
    <w:p>
      <w:r>
        <w:t>La partie qui entend récuser un arbitre doit invoquer le motif de récusation aussitôt qu'elle en a connaissance. Cette règle jurisprudentielle, reprise expressément à l'art. R34 du Code,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 ATF 129 III 445 consid. 3.1 p. 449 et les arrêts cités).</w:t>
      </w:r>
    </w:p>
    <w:p>
      <w:r>
        <w:rPr>
          <w:b/>
        </w:rPr>
        <w:t>E. 3.3</w:t>
      </w:r>
    </w:p>
    <w:p>
      <w:r>
        <w:t>Les arguments avancés de part et d'autre dans la présente procédure de recours justifient que le Tribunal fédéral apporte quelques précisions aux principes qui viennent d'être rappelés. BGE 136 III 605 S. 610</w:t>
      </w:r>
    </w:p>
    <w:p>
      <w:r>
        <w:rPr>
          <w:b/>
        </w:rPr>
        <w:t>E. 3.3.1</w:t>
      </w:r>
    </w:p>
    <w:p>
      <w:r>
        <w:t>Le CONI fait valoir, dans sa réponse au recours, que, nonobstant l'intitulé de son grief ("Manque d'indépendance et d'impartialité d'un arbitre"), le recourant ne se plaint, en réalité, que du manque d' impartialité de l'arbitre Haas. Or, poursuit cet intimé, selon la doctrine classique la plus autorisée, la condition d'impartialité ne s'applique pas aux arbitres nommés par les parties, mais exclusivement au président du tribunal arbitral ou à l'arbitre unique. Dès lors, l'intéressé invite le Tribunal fédéral à se prononcer sur la recevabilité du grief formulé par le recourant dans la mesure où il revient à contester, non pas l'indépendance, mais l'impartialité de l'arbitre Haas. Dans sa jurisprudence antérieure à l'entrée en vigueur de la LDIP, le 1 er janvier 1989, le Tribunal fédéral avait jugé que l'impartialité requise des membres d'un tribunal arbitral s'imposait aussi bien à ceux qui sont désignés par les parties qu'au surarbitre ( ATF 105 Ia 247 ; voir aussi: ATF 113 Ia 407 consid. 2a p. 409). Sous l'empire de la nouvelle loi, il a d'abord laissé la question ouverte ( ATF 118 II 359 consid. 3c). Dans deux décisions ultérieures non publiées, il a tiré argument de l'absence de mention de la notion d'impartialité à l' art. 180 al. 1 let . c LDIP pour en déduire que l'abandon de ce critère atténue l'assimilation que faisait la jurisprudence entre les statuts d'arbitre de partie et de président du tribunal arbitral ou d'arbitre unique (arrêts 4P.224/1997 du 9 février 1998 consid. 3a et 4P.292/1993 du 30 juin 1994 consid. 4). Par la suite, le Tribunal fédéral a derechef laissé la question indécise (arrêt 4P.188/2001 du 15 octobre 2001 consid. 2b), affirmant, dans le dernier arrêt publié sur ce point, que savoir s'il faut se montrer moins exigeant à l'égard de l'arbitre choisi par l'une des parties est une question qui n'a pas été tranchée ( ATF 129 III 445 consid. 3.3.3 p. 454; cf. BERNARD CORBOZ, Commentaire de la LTF, 2009, n° 91 i.f. ad art. 77 LTF qui y voit peut-être un rejet implicite de l'idée). La doctrine est divisée sur le problème controversé. Certains auteurs, que l'on pourrait qualifier de réalistes ou de pragmatiques, considèrent qu'il serait illusoire, surtout en matière d'arbitrage international, de vouloir exiger d'un arbitre désigné par une partie le même degré d'indépendance et d'impartialité que celui qui est requis du président d'un tribunal arbitral ou d'un arbitre unique (cf. parmi d'autres:PIERRE LALIVE, Sur l'impartialité de l'arbitre international en Suisse, SJ 1990 p. 362 ss, 368 à 371; LALIVE/POUDRET/REYMOND, Le droit de l'arbitrage interne et international en Suisse, 1989, BGE 136 III 605 S. 611 n° 4 ad art. 180 LDIP ;ANDREAS BUCHER, Le nouvel arbitrage international en Suisse, 1988, n os 168 à 170; FRANK VISCHER, in Zürcher Kommentar zum IPRG, 2 e éd. 2004, n° 8 ad art. 180 LDIP ; PATOCCHI/GEISINGER, Internationales Privatrecht, 2000, n° 5.5 ad art. 180 LDIP ; PETER/BESSON, in Commentaire bâlois, Internationales Privatrecht, 2 e éd. 2007, n os 13 s. ad art. 180 LDIP ; FRANK OSCHÜTZ, Sportschiedsgerichtsbarkeit, 2004, p. 125 ss). D'autres auteurs, qui en font une question de crédibilité de l'arbitrage, estiment, au contraire, que les garanties d'indépendance et d'impartialité doivent être les mêmes pour un arbitre désigné par une partie que pour le président du tribunal arbitral ou pour l'arbitre unique (cf. parmi d'autres: KAUFMANN-KOHLER/RIGOZZI, Arbitrage international, 2 e éd. 2010, n os 362 s.; BERGER/KELLERHALS, Internationale und interne Schiedsgerichtsbarkeit in der Schweiz, 2006, n° 738; RÜEDE/HADENFELDT, Schweizerisches Schiedsgerichtsrecht, 2 e éd. 1993, p. 173 s.; BERNARD DUTOIT, Droit international privé suisse, 4 e éd. 2005, n° 4 ad art. 180 LDIP , p. 635; KNOEPFLER/SCHWEIZER, Arbitrage international, 2003, p. 613 s.; JENS-PETER LACHMANN, Handbuch für die Schiedsgerichtspraxis, 3 e éd. 2008, n os 974 ss; FOUCHARD/GAILLARD/GOLDMAN, Traité de l'arbitrage commercial international, 1996, n° 1046 i.f.; THOMAS CLAY, L'arbitre, 2001, n os 343 ss). Selon le dernier auteur cité, cette seconde conception, qu'il désigne par l'expression d' indépendance monolithique , pour l'opposer à l' indépendance variable , serait "majoritaire au point d'être presque universelle" (CLAY, op. cit., n° 343; voir aussi l'interprétation originale de la position suisse faite par cet auteur in n° 350). Cette conception a d'ailleurs été suivie par les directives de l' International Bar Association (IBA) sur les conflits d'intérêts en matière d'arbitrage (cf. KAUFMANN-KOHLER/RIGOZZI, op. cit., n° 363). C'est également sur elle que reposent les dispositions du nouveau Code de procédure civile suisse (CPC; à partir du 1 er janvier 2011 RS 272) relatives à la récusation en matière d'arbitrage interne, en particulier l' art. 367 al. 1 let . c CPC (RO 2010 1825), lequel énonce explicitement le critère de l'impartialité, pour plus de clarté et pour aligner le texte sur le droit étranger et international (Message du 28 juin 2006 relatif au Code de procédure civile suisse, FF 2006 7003 [ad art. 361 du projet] et 7004 [ad art. 365 du projet]), et s'applique indifféremment à tous les membres du tribunal arbitral (URS WEBER-STECHER, in Commentaire bâlois, Schweizerische Zivilprozessordnung, 2010, n° 19 ad art. 367 CPC ). BGE 136 III 605 S. 612 L'absence de mention de la notion d'impartialité à l' art. 180 al. 1 let . c LDIP, sur laquelle faisaient fond les deux précédents invoqués par le CONI à l'appui de sa thèse, n'apparaît pas déterminante pour résoudre la question litigieuse. En effet, lorsqu'il se prononce sur le moyen pris de la composition irrégulière du tribunal arbitral ( art. 190 al. 2 let. a LDIP ), le Tribunal fédéral se réfère à une norme de rang supérieur - l' art. 30 Cst. - pour en déduire directement qu'un tribunal arbitral, à l'égal d'un tribunal étatique, doit présenter des garanties suffisantes tant d'indépendance que d'impartialité. Pour dire si un tribunal arbitral offre de telles garanties, la jurisprudence actuelle se réfère du reste aux principes constitutionnels développés au sujet des tribunaux étatiques (voir les arrêts cités au consid. 3.2.1 ci-dessus). Ce faisant, elle ne fait pas de distinction stricte entre les notions d'indépendance et d'impartialité, si tant est que cela soit possible en matière d'arbitrage, et paraît vouloir inclure la première notion dans la seconde, plus large, au titre de l'impartialité objective, par opposition à l'impartialité subjective (sur la distinction entre les deux types d'impartialité, voir les arrêts cités au consid. 3.2.1 in fine). En outre et surtout, cette jurisprudence ne fait plus de différence entre la situation d'un membre du tribunal arbitral et celle du président du tribunal arbitral (cf., parmi d'autres, l'arrêt 4A_458/2009 du 10 juin 2010 consid. 3.2 et 3.3), rejetant implicitement l'idée d'une telle distinction. Il convient de le faire ici de manière expresse. Force est, dès lors, d'admettre que l'indépendance et l'impartialité requises des membres d'un tribunal arbitral s'imposent aussi bien aux arbitres désignés par les parties qu'au président du tribunal arbitral. En énonçant ce principe, le Tribunal fédéral est certes conscient qu'une indépendance absolue de tous les arbitres constitue un idéal qui ne correspondra que rarement à la réalité. Aussi bien, le mode de désignation des membres du tribunal arbitral crée, qu'on le veuille ou non, un lien objectif, si ténu soit-il, entre l'arbitre et la partie qui l'a désigné, puisque celui-là, à l'inverse du juge étatique, ne tient son pouvoir et sa place que de la volonté de celle-ci. Il s'agit là toutefois d'une conséquence inhérente à la procédure arbitrale, dont il faut s'accommoder. Elle implique qu'un arbitre ne puisse pas être récusé du seul fait qu'il a été choisi par l'une des parties en litige. Doit être exclu, en revanche, le système dit de l'arbitre-partie dans lequel l'arbitre désigné par chacune des parties ne serait pas astreint à la même indépendance et à la même impartialité que l'arbitre appelé à présider le tribunal BGE 136 III 605 S. 613 arbitral. L'idée que l'arbitre puisse n'être que l'avocat de "sa" partie au sein du tribunal arbitral doit être résolument écartée sous peine de mettre en péril l'institution de l'arbitrage comme telle. En ce sens, le Tribunal fédéral peut faire sienne la conclusion suivante, tirée voilà bientôt quinze ans déjà par des professeurs de droit français faisant autorité dans le domaine de l'arbitrage international: "compte tenu de la dégradation des moeurs parfois constatée dans l'arbitrage international et des manoeuvres auxquelles se livre parfois l'arbitre désigné par une partie, il n'est pas suffisant d'exiger de lui un comportement de bonne foi: il est préférable de s'en tenir aux principes, en espérant qu'ils permettront, en pratique, de tempérer les dérives des arbitres-partisans" (FOUCHARD/GAILLARD/GOLDMAN, ibid.).</w:t>
      </w:r>
    </w:p>
    <w:p>
      <w:r>
        <w:rPr>
          <w:b/>
        </w:rPr>
        <w:t>E. 3.3.2</w:t>
      </w:r>
    </w:p>
    <w:p>
      <w:r>
        <w:t>Dans sa réponse au recours, l'AMA, relevant que la sentence attaquée a été rendue à l'unanimité, considère comme douteux que le recourant puisse se prévaloir de la prétendue partialité de l'arbitre Haas pour étayer son grief fondé sur l' art. 190 al. 2 let. a LDIP . Les doutes exprimés par cette intimée ne sont pas de mise. En effet, le grief en question est de nature formelle, en ce sens que la LDIP n'exige pas de la partie recourante la démonstration que la sentence eût été différente si le tribunal arbitral avait été régulièrement composé (KAUFMANN-KOHLER/RIGOZZI, op. cit., n° 798). On voit mal, d'ailleurs, comment une telle démonstration pourrait être faite concrètement, même s'il n'est pas exclu, en soi, que la participation d'un arbitre récusable à la prise de décision du tribunal arbitral ait eu une incidence déterminante sur le sort du litige, en dépit du fait que la sentence a été rendue à l'unanimité. Il est, en effet, parfaitement imaginable que semblable unanimité n'ait pu être acquise que grâce au pouvoir de persuasion de l'arbitre en question et à l'ascendant que cette personne a exercé, pour telle ou telle raison, sur le coarbitre (ou les deux coarbitres) qui n'était pas du même avis qu'elle au départ. Dès lors, il sied tout au plus de concéder au TAS que l'annulation d'une sentence rendue à l'unanimité ne se justifiera qu'en dernière extrémité, eu égard aux conséquences pouvant en résulter. Elle n'en demeure pas moins la seule mesure envisageable lorsque le défaut d'indépendance ou d'impartialité de l'arbitre mis en cause est avéré.</w:t>
      </w:r>
    </w:p>
    <w:p>
      <w:r>
        <w:rPr>
          <w:b/>
        </w:rPr>
        <w:t>E. 3.3.3</w:t>
      </w:r>
    </w:p>
    <w:p>
      <w:r>
        <w:t>A suivre le recourant, il conviendrait de poser des exigences accrues quant à l'indépendance et à l'impartialité des arbitres fonctionnant dans les Formations mises en oeuvre par le TAS, étant donné les spécificités de l'arbitrage sportif. BGE 136 III 605 S. 614 Pourtant, tel n'est pas le sens de la jurisprudence en la matière, qu'il n'y a pas lieu de soumettre à un nouvel examen. Selon cette jurisprudence, l'arbitrage sportif institué par le TAS présente des spécificités, comme la liste fermée d'arbitres, dont on ne saurait faire abstraction, même si elles ne justifient pas en soi de se montrer moins exigeant pour l'arbitrage sportif que pour l'arbitrage commercial (arrêts 4A_458/2009, précité, consid. 3.1 et 4A_506/2007, précité, consid. 3.1.1 et les références). En d'autres termes, le respect des garanties d'indépendance et d'impartialité exigées de tout arbitre doit être examiné à la même aune dans l'un et l'autre domaine. Aussi ne se justifie-t-il pas de réserver un traitement spécial aux arbitres du TAS, c'est-à-dire de se montrer particulièrement strict dans l'examen de leur indépendance et de leur impartialité. A cet égard, KAUFMANN-KOHLER/RIGOZZI (op. cit., n° 368 p. 204) méconnaissent le sens de cette jurisprudence lorsqu'ils paraissent vouloir soutenir que, de l'avis du Tribunal fédéral, les spécificités en question, "dont on ne saurait faire abstraction", imposeraient un examen plus sévère des garanties offertes par les arbitres du TAS que de celles présentées par les arbitres appelés à trancher des litiges commerciaux. Il appert, au contraire, du passage cité par ces deux auteurs, et singulièrement de l'expression "même si", que s'il ne faut pas examiner avec plus d'indulgence l'indépendance et l'impartialité d'un arbitre du TAS, il ne faut pas non plus perdre de vue les particularités de cet arbitrage sportif à l'occasion de cet examen. Cela signifie, notamment, que, l'indépendance institutionnelle du TAS à l'égard de toutes les parties faisant appel à ses services ayant été admise dans un arrêt de principe ( ATF 129 III 445 consid. 3.3.4), il ne peut être fait abstraction des spécificités de cet arbitrage sportif lorsqu'il s'agit de vérifier la régularité de la composition d'une Formation du TAS; il faut donc prendre en considération le fait que le choix des arbitres est restreint, que ceux-ci doivent être au bénéfice d'une formation juridique et qu'ils sont tenus d'avoir une compétence reconnue en matière de sport ( ATF 129 III 445 consid. 4.2.2.2 p. 467). Ces particularités font que les arbitres du TAS peuvent être amenés à côtoyer des organisations sportives, des avocats spécialisés et d'autres experts en droit du sport sans que de tels contacts soient en eux-mêmes de nature à compromettre nécessairement leur indépendance. Ne pas prendre en compte ces particularités-là irait à fins contraires, car cela reviendrait à multiplier les possibilités de récusation et, partant, les incidents de procédure, alors que le but de la BGE 136 III 605 S. 615 juridiction arbitrale sportive institutionnalisée consiste à favoriser la liquidation rapide des litiges en matière de sport par des tribunaux spécialisés présentant des garanties suffisantes d'indépendance et d'impartialité (cf. ATF 133 III 235 consid. 4.3.2.3 p. 245). Quoi qu'il en soit, dire si la Formation considérée offrait de telles garanties dépendra toujours de l'analyse des circonstances du cas concret, de sorte qu'il serait vain de vouloir énoncer en ce domaine des principes immuables.</w:t>
      </w:r>
    </w:p>
    <w:p>
      <w:r>
        <w:rPr>
          <w:b/>
        </w:rPr>
        <w:t>E. 3.3.4</w:t>
      </w:r>
    </w:p>
    <w:p>
      <w:r>
        <w:t>Le recourant demande au Tribunal fédéral de prononcer la récusation de l'arbitre Haas. En matière d'arbitrage concordataire, l'admissibilité d'une telle conclusion ne fait pas problème, car il n'existe pas de disposition, tel l' art. 77 al. 2 LTF , qui exclurait l'application de l' art. 107 al. 2 LTF . Dès lors, conformément à cette dernière disposition, qui attribue un pouvoir de réforme au Tribunal fédéral, rien ne s'oppose à ce que celui-ci prononce lui-même la récusation d'un arbitre dans le cadre d'un arbitrage interne, s'il considère que l'autorité cantonale prévue à l'art. 3 let. b du concordat sur l'arbitrage du 27 mars 1969 (CA; RO 1969 1117) a rejeté à tort la demande de récusation (arrêt 4A_586/2008 du 12 juin 2009 consid. 1.1). De ce point de vue, la situation ne diffère pas de celle qui prévaut en cas d'annulation d'une décision rejetant une demande de récusation d'un juge étatique (cf. arrêt 1B_242/2007 du 28 avril 2008 consid. 3, non publié in ATF 134 I 238 ). Dans le domaine de l'arbitrage international, la question est plus délicate du fait que la première disposition susmentionnée, en écartant l'application de la seconde, établit le caractère purement cassatoire du recours fédéral dirigé contre une sentence arbitrale internationale. Cette question a du reste été laissée ouverte dans les derniers arrêts rendus sur ce point (arrêts 4A_539/2008 du 19 février 2009 consid. 2.2, 4A_210/2008 du 29 octobre 2008 consid. 2.2 et 4P.196/2003 du 7 janvier 2004 consid. 2.2), alors qu'il était arrivé antérieurement au Tribunal fédéral de constater, à une occasion au moins et de manière incidente, qu'il pourrait prononcer lui-même la récusation de l'arbitre incriminé en cas d'admission du grief fondé sur l' art. 190 al. 2 let. a LDIP (arrêt 4P.263/2002 du 10 juin 2003 consid. 3.2). Les auteurs qui ont abordé cette question paraissent favorables à la solution retenue dans le dernier arrêt cité, même s'ils ne sont pas tous aussi affirmatifs que celui-ci (cf. parmi d'autres: BGE 136 III 605 S. 616 LALIVE/POUDRET/REYMOND, op. cit., n° 3.6 ad art. 191 LDIP ; BUCHER, op. cit., n° 380; DUTOIT, op. cit., n° 7 ad art. 182 LDIP et n° 8 ad art. 191 LDIP ; KAUFMANN-KOHLER/RIGOZZI, op. cit., n° 779a; BESSON, op. cit., p. 22 n° 50). L'un d'eux justifie son opinion en évoquant le risque que la sentence puisse être annulée par le Tribunal fédéral pour défaut d'indépendance d'un arbitre sans que le rétablissement de la régularité de la constitution du tribunal arbitral soit ensuite assuré (BESSON, ibid.). Le caractère cassatoire du moyen de droit fédéral ouvert contre une sentence arbitrale internationale n'est pas absolu. Exception y avait déjà été faite, sous l'empire de l'ancienne loi fédérale d'organisation judiciaire, relativement à la compétence ou à l'incompétence du tribunal arbitral, que le Tribunal fédéral pouvait constater lui-même ( ATF 128 III 50 consid. 1b). Exception y est toujours faite, en ce domaine, depuis l'entrée en vigueur de la LTF (arrêt 4A_128/2008 du 19 août 2008 consid. 2.1, non publié in ATF 134 III 565 ). Il doit en aller de même en ce qui concerne la récusation d'un arbitre, pour des motifs relevant à la fois de la sécurité du droit et de l'économie de la procédure. En effet, si le Tribunal fédéral se contentait d'annuler la sentence attaquée, après avoir admis le grief fondé sur l' art. 190 al. 2 let. a LDIP , la nouvelle sentence devrait être rendue en principe par les mêmes arbitres (cf. LALIVE/POUDRET/REYMOND, ibid.), ce qui contraindrait la partie ayant obtenu gain de cause devant le Tribunal fédéral à déposer une nouvelle demande de récusation de l'arbitre incriminé au cas où celui-ci refuserait de se déporter spontanément. L'issue de la procédure arbitrale s'en trouverait différée d'autant et la possibilité de manoeuvres dilatoires ne pourrait être exclue dans une telle situation. Par conséquent, si elle venait à admettre le grief formulé par le recourant, la Cour de céans prononcerait elle-même la récusation de l'arbitre Haas.</w:t>
      </w:r>
    </w:p>
    <w:p>
      <w:r>
        <w:rPr>
          <w:b/>
        </w:rPr>
        <w:t>E. 3.4</w:t>
      </w:r>
    </w:p>
    <w:p>
      <w:r>
        <w:t>Il y a lieu d'examiner, sur le vu de ces principes jurisprudentiels ainsi complétés, si le tribunal arbitral qui a rendu la sentence contestée était ou non irrégulièrement composé du fait de la présence du Professeur Haas en son sein.</w:t>
      </w:r>
    </w:p>
    <w:p>
      <w:r>
        <w:rPr>
          <w:b/>
        </w:rPr>
        <w:t>E. 3.4.1</w:t>
      </w:r>
    </w:p>
    <w:p>
      <w:r>
        <w:t>Pour procéder à cet examen, le Tribunal fédéral s'en tiendra aux seuls faits constatés dans la décision prise le 23 novembre 2009 par le Bureau du CIAS au sujet de la demande de récusation de l'arbitre Haas. Aussi fera-t-il abstraction de l'allégation du recourant, étayée de surcroît par des pièces nouvelles, voulant que le BGE 136 III 605 S. 617 Professeur Haas ait été nommé récemment comme arbitre par l'AMA, à trois reprises au moins, dans des affaires soumises au TAS. Il ne tiendra pas non plus compte, pour le même motif, de l'affirmation du recourant, ainsi que de la pièce y relative, selon laquelle ce serait "en qualité de délégué de l'AMA" qu'Ulrich Haas avait participé à diverses réunions et conférences ayant pour objet les règles antidopage, notamment à un congrès organisé par SportAccord en 2007. En effet, le CIAS retient à cet égard, dans la susdite décision, qu'"il n'est nulle part mentionné que le Professeur Ulrich Haas ait participé à la révision du Code ou à des réunions en tant que représentant de l'AMA". De même, le recourant s'écarte des constatations de la décision précitée lorsqu'il souligne l'"importance de l'AMA pour le marché des services juridiques en matière de lutte antidopage". En définitive, les seules circonstances avérées qui entrent en ligne de compte pour l'examen de l'indépendance et de l'impartialité de l'arbitre mis en cause sont, d'une part, le fait que celui-ci a dirigé, comme expert juridique, le groupe de neuf personnes indépendantes choisies par l'AMA pour observer l'application du programme antidopage aux Jeux Olympiques d'Athènes en 2004 et fournir au public un rapport écrit concernant le déroulement de ce programme; d'autre part, l'appartenance de l'intéressé à l'équipe d'experts constituée sous l'égide de l'AMA pour réviser le Code Mondial Antidopage en 2006/2007 et sa participation, dans ce cadre-là, à la conférence SportAccord, en avril 2007, pour y présenter l'état des travaux de révision.</w:t>
      </w:r>
    </w:p>
    <w:p>
      <w:r>
        <w:rPr>
          <w:b/>
        </w:rPr>
        <w:t>E. 3.4.2</w:t>
      </w:r>
    </w:p>
    <w:p>
      <w:r>
        <w:t>Comme on l'a déjà relevé, les règles de la bonne foi, dont l'art. R34 du Code est l'expression, exigent de la partie qui entend récuser un arbitre qu'elle invoque le motif de récusation aussitôt qu'elle en apprend l'existence ou qu'elle aurait pu l'apprendre en faisant preuve de l'attention voulue (cf. consid. 3.2.2. ci-dessus). Dans sa réponse au recours, le TAS exprime des doutes quant au respect de ces règles par le recourant. Certes, à s'en tenir à la chronologie des faits que ce dernier expose dans ses observations et en prenant comme dies a quo le jour où l'intéressé a été informé officiellement que l'AMA participerait à la procédure arbitrale pendante (décision préliminaire du 12 octobre 2009), il apparaît que le recourant a réagi en temps utile en mettant en cause l'indépendance du Professeur Haas dans un courrier du 16 octobre 2009, puis en demandant formellement la récusation de cet arbitre, par requête du 29 octobre 2009, après avoir pris connaissance de la déclaration BGE 136 III 605 S. 618 d'indépendance complétée le 23 octobre 2009 par celui-ci. Cependant, le problème est ailleurs. Force est, en effet, d'admettre qu'à la date à laquelle Ulrich Haas a accepté sa mission d'arbitre, soit le 9 juillet 2009, le recourant n'ignorait pas ou, à tout le moins, ne pouvait pas raisonnablement ignorer les deux circonstances qu'il a opposées ultérieurement à l'arbitre en question: la collaboration du Professeur Haas à la révision du Code Mondial Antidopage était relatée expressis verbis dans la déclaration d'acceptation du 9 juillet 2009; quant au fait que le prénommé avait dirigé le groupe d'observateurs indépendants aux Jeux Olympiques d'Athènes en 2004, il ressortait déjà du rapport publié par l'AMA, notamment sur son site internet (sur le devoir de curiosité incombant aux parties, voir l'arrêt 4A_506/2007, précité, consid. 3.2). Or, à ce moment-là, le recourant n'a pas requis la récusation du Professeur Haas, signe qu'il ne trouvait rien à redire à la présence de cette personne au sein de la Formation devant connaître de son appel. Il ne l'a fait qu'ensuite, après que l'AMA avait été invitée à participer à la procédure d'arbitrage sur appel en cause du CONI. C'est précisément cet atermoiement qui ne manque pas de surprendre. En effet, si, comme le recourant le soutient, les intérêts de l'AMA dans l'arbitrage "sont identiques à ceux du CONI" et "clairement opposés" aux siens, on peut s'étonner, avec le TAS, sur le vu des motifs de récusation invoqués, que l'appelant ait accepté, dans un premier temps, d'être jugé par une Formation comprenant un arbitre qui entretenait, selon lui, des rapports étroits avec l'organisation mondiale spécialisée dans la lutte contre le dopage et qui avait été choisi par le CONI, partie à la procédure arbitrale, lequel organisme, aux dires de l'intéressé, "joue en Italie le rôle d'agence nationale antidopage". Quoi qu'il en soit, il n'est pas nécessaire de pousser plus avant l'analyse sur ce point, dès lors que, pour les motifs indiqués plus loin (cf. consid. 3.4.4), le grief considéré n'est pas fondé.</w:t>
      </w:r>
    </w:p>
    <w:p>
      <w:r>
        <w:rPr>
          <w:b/>
        </w:rPr>
        <w:t>E. 3.4.3</w:t>
      </w:r>
    </w:p>
    <w:p>
      <w:r>
        <w:t>Relativement aux deux circonstances qu'il convient de retenir pour l'examen de ce grief (cf. consid. 3.4.1, 2 e §), le recourant développe l'argumentation résumée ci-après. Le Professeur Haas a été choisi par l'AMA pour présider le groupe d'observateurs indépendants aux Jeux Olympiques d'Athènes en 2004. Il a ainsi eu l'insigne honneur d'être désigné pour surveiller l'application d'un programme fondamental; de surcroît, cette désignation est intervenue lors de la première mise en oeuvre de ce BGE 136 III 605 S. 619 programme dans le cadre d'une manifestation sportive majeure et à l'occasion de l'entrée en vigueur du Code Mondial Antidopage. En outre, l'AMA a sélectionné le Professeur Haas pour faire partie du groupe d'experts chargé de rédiger le nouveau Code Mondial Antidopage. Ce mandat a duré au moins deux ans - 2006 et 2007 - et l'information y relative figure en bonne place dans le curriculum vitae de cet arbitre publié sur le site internet du TAS. Le Professeur Haas, qui a du reste participé à diverses conférences pour le compte et au nom de l'AMA dans le cadre de ce mandat, tel le congrès SportAccord en 2007, a ainsi pris une part très active dans l'élaboration de la réglementation antidopage de l'AMA, laquelle a été reprise par le CONI et a donc servi indirectement à résoudre le fond du présent litige. Le risque existe donc que le Professeur Haas ne se sente pas libre dans l'interprétation ou l'application des règles qu'il a contribué à élaborer. Le Professeur Haas a été rémunéré pour les activités effectuées à la demande de l'AMA. Celles-ci lui ont été confiées en sa qualité de mandataire de cet organisme, dont il était tenu de suivre les instructions et auquel il devait faire rapport. Il est probable que l'AMA fasse derechef appel au Professeur Haas lorsqu'elle aura à nouveau besoin des services de ce spécialiste reconnu mondialement dans le domaine des règles antidopage. Ce lien entre l'AMA et le Professeur Haas et les expectatives de ce dernier quant à l'octroi de futurs mandats constituent des faits qui, examinés objectivement, sont susceptibles de faire naître chez toute personne raisonnable, tel le recourant, un doute légitime quant à l'impartialité de cet arbitre, ce que le CIAS a du reste retenu dans sa décision sans en tirer toutefois les conséquences qui s'imposaient. Il existe, à cet égard, une analogie particulièrement marquée entre le cas concret et ceux, tranchés par le Tribunal fédéral ( ATF 116 Ia 135 et 485), dans lesquels un avocat exerçant accessoirement la fonction de juge avait été appelé à statuer dans un litige opposant l'un de ses clients importants (une banque cantonale, resp. une grande ville) à un tiers. Il est, en effet, à craindre, ici aussi, qu'un arbitre ayant des liens étroits et durables avec une partie se trouve placé dans un conflit opposant l'intérêt d'une administration impartiale de la justice à l'intérêt d'un de ses clients importants, et qu'il ne privilégie cet intérêt-ci.</w:t>
      </w:r>
    </w:p>
    <w:p>
      <w:r>
        <w:rPr>
          <w:b/>
        </w:rPr>
        <w:t>E. 3.4.4</w:t>
      </w:r>
    </w:p>
    <w:p>
      <w:r>
        <w:t>Le Professeur Haas a effectivement dirigé le groupe d'observateurs indépendants aux Jeux Olympiques d'Athènes en juillet- BGE 136 III 605 S. 620 août 2004, c'est-à-dire quelque cinq ans avant le début de la procédure d'appel conduite par le TAS. Dans sa déclaration d'indépendance complétée du 23 octobre 2009, il a indiqué en quoi consistait une telle mission, insistant plus particulièrement sur le fait qu'il l'avait exécutée en ayant les coudées franches et sans jamais être soumis à des directives de l'AMA. Le recourant ne conteste pas la description que le Professeur Haas a faite de son activité dans le cadre de cette mission. Il met toutefois en doute l'indépendance du prénommé à l'égard de l'AMA au motif que, selon la définition que donne le Code Mondial Antidopage du programme des observateurs indépendants, ceux-ci travailleraient "sous la supervision de l'AMA". Cependant, semblable argument, fondé sur la seule définition abstraite du programme en question, n'infirme en rien la description concrète de la tâche des observateurs, faite en l'espèce, dont il appert que le Professeur Haas a exercé la mission qui lui avait été confiée en toute indépendance vis-à-vis de l'AMA. En outre, quoi qu'en dise le recourant, il n'est pas établi qu'Ulrich Haas se soit vu accorder autre chose qu'un simple défraiement pour l'exécution de ladite mission. Que l'intéressé ait pu être honoré du choix de sa personne pour diriger le groupe d'observateurs indépendants, comme le soutient encore le recourant, n'est sans doute pas à exclure, au demeurant, mais il ne s'agit pas là d'une circonstance qui était propre à le rendre dépendant de l'organisme ayant retenu son nom. Le Professeur Haas a participé aux travaux de rédaction du Code Mondial Antidopage, version 2009, au sein du Code Project Team, en 2006/2007; il ne s'en est jamais caché, du reste, puisqu'il a révélé spontanément cette circonstance dans sa déclaration d'indépendance du 9 juillet 2009, en décrivant de manière détaillée l'objet de sa mission. En revanche, il n'est pas possible de suivre le recourant lorsqu'il suggère que cette activité relevait d'un mandat stricto sensu , de caractère durable et donnant lieu à rémunération. Premièrement, la tâche confiée à l'équipe d'experts s'est achevée en novembre 2007 et n'était donc pas destinée à durer au-delà de l'adoption du nouveau code; deuxièmement, il n'est nullement établi que le Professeur Haas ait été non seulement défrayé pour exécuter cette tâche, mais qu'il ait touché, en sus, une rémunération comparable aux honoraires d'un avocat. Troisièmement, rien, dans les faits, ne permet d'affirmer que l'expert ait été tenu de suivre les instructions de l'AMA dans l'accomplissement de cette tâche, à l'égal d'un mandataire. Pour BGE 136 III 605 S. 621 le surplus, on voit mal comment l'arbitre Haas aurait pu se sentir limité dans sa liberté de décision du seul fait de sa participation aux travaux de révision du Code Mondial Antidopage, dès lors que la Formation a appliqué, in casu , les normes antidopage italiennes (NSA) en vigueur en mai 2006. Enfin, si le Professeur Haas a participé à une ou plusieurs conférences en 2007, il n'est nullement avéré qu'il l'ait fait au nom et pour le compte de l'AMA, voire en tant que délégué de cette dernière (cf. consid. 3.4.1 ci-dessus). Le recourant tente d'extrapoler, à partir des deux circonstances qui viennent d'être examinées, pour en déduire l'existence de liens professionnels étroits entre l'AMA et le Professeur Haas et des expectatives de celui-ci quant à la continuation d'affaires avec un organisme jouissant, selon lui, d'un quasi-monopole sur le marché des services juridiques en matière de dopage. Il s'agit là, toutefois, d'une construction assez artificielle, qui ne repose pas sur de solides assises. Pour étayer sa thèse, le recourant assimile d'ailleurs à tort la position du Professeur Haas vis-à-vis de l'AMA à celle d'un avocat à l'égard d'un important client, auquel il conviendrait d'éviter de déplaire, et il le fait dans le but manifeste d'appliquer aux circonstances du cas concret des principes posés par le Tribunal fédéral dans un tout autre contexte (cf. les ATF 116 Ia 135 et 485 précités). Il est, en effet, évident que la situation d'Ulrich Haas, qui exerce à plein temps la profession rémunérée d'enseignant universitaire, n'est pas comparable à celle d'un avocat tirant ses revenus des honoraires perçus de ses clients. Du reste, il n'est pas établi que le Professeur Haas se soit vu confier par l'AMA de nouvelles missions du type de celles que cette association lui avait demandé d'accomplir en 2004 et 2006/2007. Il est, au demeurant, erroné de soutenir, à l'instar du recourant, que les missions exécutées par le prénommé relèvent du chiffre 3.4.2 de la liste orange contenue dans les lignes directrices sur les conflits d'intérêts dans l'arbitrage international, édictées par l' International Bar Association (sur l'applicabilité de ces lignes directrices, cf. l'arrêt 4A_506/2007, précité, consid. 3.3.2.2 et les références). Aussi bien, cette disposition, selon la traduction libre qui en a été faite dans la réplique, vise "l'arbitre [qui] a été associé dans les trois dernières années avec une partie ou une filiale de l'une des parties à un titre professionnel, tel qu'un ancien employé ou associé". Il va de soi que l'on ne saurait assimiler le Professeur Haas à un ancien associé ou employé de l'AMA au sens de la disposition citée, sans compter que l'une des deux missions invoquées par le recourant s'est BGE 136 III 605 S. 622 achevée à la fin des Jeux Olympiques d'Athènes en 2004, soit bien plus de trois ans avant la désignation des arbitres ayant statué sur le sort de l'appel formé par le recourant. De toute façon, il convient de rappeler que la liste orange envisage des situations intermédiaires qui doivent être révélées, mais ne justifient pas nécessairement une récusation. Or, en l'espèce, l'arbitre Haas n'a en rien méconnu son devoir de révélation ( disclosure ) lorsqu'il a établi, puis complété, sa déclaration d'indépendance dans laquelle figurent expressis verbis les deux circonstances susmentionnées. Le recourant fait grand cas de la remarque - reproduite plus haut (cf. ci-dessus, let. B.b) - que le CIAS a formulée au n. 36 des considérants de sa décision du 23 novembre 2009. Il y voit apparemment le signe que, du propre aveu de cette autorité, les circonstances relatives à la personne du Professeur Haas, examinées objectivement, étaient susceptibles de faire naître chez lui, comme chez toute autre personne raisonnable, un doute légitime concernant l'impartialité de cet arbitre. Cependant, le recourant interprète à sa guise la remarque en question. Par cette remarque, le CIAS se borne, en effet, à faire état d'une hypothèse quant à l'impression qu'a pu avoir le recourant au sujet de l'indépendance du Professeur Haas à l'égard de l'AMA à l'époque où celui-là s'était vu confier par celle-ci les deux missions susmentionnées (années 2004 et 2006/2007). Il ne constate nullement qu'une telle impression eût encore été de mise au moment de l'ouverture de la procédure arbitrale dont il est ici question. Bien au contraire, dans le passage subséquent de sa décision (n. 37, également reproduit plus haut; ibid.), le CIAS expose que semblable impression subjective n'a plus de raison d'être dès lors qu'il n'existe aucune circonstance qui, constatée objectivement, serait de nature à éveiller des soupçons quant à l'impartialité ou à l'indépendance du Professeur Haas dans la procédure arbitrale pendante. En définitive, si l'on s'en tient aux seules circonstances constatées objectivement, en faisant abstraction des impressions subjectives du recourant, mais en ayant égard aux particularités de l'arbitrage international sportif organisé par le TAS, il n'apparaît pas que la présence d'Ulrich Haas au sein de la Formation, suite à sa désignation par le CONI et non par l'AMA, soit de nature à fonder le grief tiré de la composition irrégulière du Tribunal arbitral, au sens de l' art. 190 al. 2 let. a LDIP . Les arbitres du TAS sont tenus de figurer sur une liste fermée; ils doivent être au bénéfice d'une formation juridique et avoir une compétence reconnue en matière de sport BGE 136 III 605 S. 623 ( ATF 129 III 445 consid. 4.2.2.2 p. 467). De telles exigences ont pour corollaire la possibilité quasi inéluctable qu'un arbitre y satisfaisant ait eu, à l'occasion, des contacts avec une ou plusieurs fédérations sportives, voire qu'il ait exercé des activités pour l'une de celles-ci. Lorsque, comme c'est ici le cas, il ne s'est agi que de missions ponctuelles remontant à quelques années déjà et qui ont été accomplies par un professeur d'université n'ayant fait que mettre son expertise au service du monde sportif, dans un but d'intérêt général (i.e. la codification des règles antidopage et la surveillance de leur application) - enseignant dont le recourant lui-même se plaît d'ailleurs à louer les grandes qualités -, on doit présumer que cette personne, quand elle siégera au sein d'une formation arbitrale chargée de statuer sur un appel exercé par un athlète dans une cause opposant celui-ci à l'organisation sportive mondiale pour laquelle l'arbitre avait exécuté antérieurement des missions limitées, aura la capacité de s'élever au-dessus des contingences liées à sa désignation ( ATF 129 III 445 , précité, ibid.). Le bien-fondé d'une telle présomption s'est du reste vérifié en l'occurrence, puisque l'arbitre Haas s'est associé à ses deux coarbitres pour ne pas entrer en matière sur les requêtes de l'AMA et de l'UCI visant à obtenir la suspension du recourant au niveau mondial pour une période de deux ans. Il va sans dire que le présent arrêt ne préjuge pas de l'appréciation qui pourrait être faite au sujet de l'indépendance et de l'impartialité du même arbitre à l'égard de l'AMA à la lumière d'autres circonstances, non retenues ici. Cela étant, le premier moyen soulevé par le recourant se révèle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