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571</w:t>
      </w:r>
    </w:p>
    <w:p>
      <w:r>
        <w:t>Bundesgericht (BGE), 2010-01-01, IT</w:t>
      </w:r>
    </w:p>
    <w:p>
      <w:r>
        <w:rPr>
          <w:b/>
        </w:rPr>
        <w:t xml:space="preserve">Quelle: </w:t>
      </w:r>
      <w:r>
        <w:t>https://mcp.opencaselaw.ch/entscheid/bge_BGE_136_III_571</w:t>
      </w:r>
    </w:p>
    <w:p>
      <w:r>
        <w:t>FR: ATF 136 III 571</w:t>
      </w:r>
    </w:p>
    <w:p>
      <w:r>
        <w:t>IT: DTF 136 III 571</w:t>
      </w:r>
    </w:p>
    <w:p>
      <w:pPr>
        <w:pStyle w:val="Heading2"/>
      </w:pPr>
      <w:r>
        <w:t>Regeste</w:t>
      </w:r>
    </w:p>
    <w:p>
      <w:r>
        <w:t>Regeste Art. 22 Abs. 1 und Art. 66 Abs. 4 Ziff. 1 SchKG; Nichtigkeit einer Betreibung. Ein Betreibungsverfahren, das nach vorangegangener ungerechtfertigter öffentlicher Bekanntmachung und ohne Wissen des Schuldners zur Verwertung seines Grundstücks geführt hat, ist nichtig (E. 4-6).</w:t>
      </w:r>
    </w:p>
    <w:p>
      <w:r>
        <w:t>Regeste Art. 22 al. 1 et art. 66 al. 4 ch. 1 LP; nullité d'une poursuite. Une procédure de poursuite qui, après avoir donné lieu de façon injustifiée à une notification par la voie édictale, a conduit, à l'insu du débiteur, à la réalisation de son fonds est nulle (consid. 4-6).</w:t>
      </w:r>
    </w:p>
    <w:p>
      <w:r>
        <w:t>Regesto Art. 22 cpv. 1 e art. 66 cpv. 4 n. 1 LEF; nullità di un'esecuzione. Una procedura di esecuzione che ha portato alla realizzazione di un fondo svoltasi ingiustificatamente in via edittale e a insaputa del debitore è nulla (consid. 4-6).</w:t>
      </w:r>
    </w:p>
    <w:p>
      <w:pPr>
        <w:pStyle w:val="Heading2"/>
      </w:pPr>
      <w:r>
        <w:t>Erwägungen</w:t>
      </w:r>
    </w:p>
    <w:p>
      <w:r>
        <w:rPr>
          <w:b/>
        </w:rPr>
        <w:t>E. 4</w:t>
      </w:r>
    </w:p>
    <w:p>
      <w:r>
        <w:t>Giusta l' art. 22 cpv. 1 LEF l'autorità di vigilanza constata d'ufficio la nullità anche quando la decisione non sia stata impugnata. La nullità dev'essere constatata in ogni tempo ( DTF 129 I 361 consid. 2). Ne segue che se, come ritenuto dall'autorità inferiore, l'esecuzione risulta nulla, è - in linea di principio - del tutto irrilevante che essa sia stata segnalata alcuni mesi dopo l'aggiudicazione e le argomentazioni ricorsuali attinenti alla tardività dell'agire del creditore o alla passività del debitore risulterebbero senza pertinenza. Occorre quindi esaminare se l'esecuzione si appalesa nulla - e non esplica quindi alcun effetto ( DTF 129 I 361 consid. 2.3) - o se essa non è inficiata di tale vizio e l'aggiudicazione avrebbe unicamente potuto essere annullata se contestata con un ricorso ai sensi dell' art. 132a LEF , come preteso dal ricorrente. BGE 136 III 571 S. 573</w:t>
      </w:r>
    </w:p>
    <w:p>
      <w:r>
        <w:rPr>
          <w:b/>
        </w:rPr>
        <w:t>E. 5</w:t>
      </w:r>
    </w:p>
    <w:p>
      <w:r>
        <w:t>Giusta l' art. 66 cpv. 4 n. 1 LEF la notificazione di un precetto esecutivo si fa mediante pubblicazione quando il domicilio del debitore è sconosciuto. La notificazione edittale del precetto esecutivo costituisce la soluzione estrema; non vi si può far capo prima che il creditore e l'ufficio delle esecuzioni abbiano effettuato tutte le ricerche adeguate alla situazione di fatto per reperire un indirizzo ove possa essere eseguita la notificazione al debitore ( DTF 112 III 6 ).</w:t>
      </w:r>
    </w:p>
    <w:p>
      <w:r>
        <w:rPr>
          <w:b/>
        </w:rPr>
        <w:t>E. 5.1</w:t>
      </w:r>
    </w:p>
    <w:p>
      <w:r>
        <w:t>L'autorità di vigilanza ha considerato che l'Ufficio di esecuzione non ha contestato che la notifica del precetto esecutivo mediante pubblicazione fosse stata irregolare e non ha preteso di aver compiuto indagini sul domicilio del debitore o di aver chiesto al creditore procedente di effettuarne. Essa ha ritenuto che trovare l'indirizzo dell'escusso sarebbe stato facile, atteso che egli compare nell'elenco telefonico e che il creditore gli ha notificato, ad un precedente indirizzo nella medesima città in cui risiede ora, ulteriori tassazioni.</w:t>
      </w:r>
    </w:p>
    <w:p>
      <w:r>
        <w:rPr>
          <w:b/>
        </w:rPr>
        <w:t>E. 5.2</w:t>
      </w:r>
    </w:p>
    <w:p>
      <w:r>
        <w:t>Contro tali accertamenti il ricorrente non formula alcuna censura conforme alle predette esigenze di motivazione (consid. 2, non pubblicato). Ne segue che l'autorità di vigilanza ha a giusta ragione ritenuto che in concreto l' art. 66 cpv. 4 n. 1 LEF non permetteva una notifica edittale. Giova tuttavia precisare che nella fattispecie la notifica in quanto tale non è avvenuta in modo irregolare, come ad esempio accade quando il precetto esecutivo viene lasciato nella buca delle lettere dell'escusso ( DTF 117 III 7 ), atteso che non risulta né viene preteso che la pubblicazione, se fossero state realizzate le condizioni per ordinarla, sia stata inficiata da vizi.</w:t>
      </w:r>
    </w:p>
    <w:p>
      <w:r>
        <w:rPr>
          <w:b/>
        </w:rPr>
        <w:t>E. 6.1</w:t>
      </w:r>
    </w:p>
    <w:p>
      <w:r>
        <w:t>Un precetto esecutivo che viene notificato in via edittale senza che siano dati presupposti per procedere in tal modo non può essere considerato nullo, ma dev'essere impugnato entro il termine previsto dall' art. 17 cpv. 2 LEF , che inizia a decorrere dalla conoscenza della notifica edittale. Se, come accade di regola, la procedura continua prima che tale termine sia scaduto o abbia addirittura iniziato a decorrere, il debitore può attaccare anche gli atti successivi facendo valere che la notifica edittale del precetto esecutivo era avvenuta a torto ed impedire così che tali atti crescano in giudicato ( DTF 75 III 81 consid. 2; 98 III 57 consid. 2). A giusta ragione, quindi, il ricorrente sostiene che una notifica edittale del precetto esecutivo avvenuta in dispregio dell' art. 66 cpv. 4 n. 1 LEF è unicamente annullabile. La fattispecie in esame non si caratterizza tuttavia in primo luogo per la discussa notifica del precetto esecutivo, ma BGE 136 III 571 S. 574 si contraddistingue per la circostanza che tutta la procedura si è svolta ad insaputa del debitore, nonostante il fatto che il suo recapito fosse facilmente reperibile.</w:t>
      </w:r>
    </w:p>
    <w:p>
      <w:r>
        <w:rPr>
          <w:b/>
        </w:rPr>
        <w:t>E. 6.2</w:t>
      </w:r>
    </w:p>
    <w:p>
      <w:r>
        <w:t>Secondo la giurisprudenza decisioni viziate sono nulle, se il vizio che le inficia è particolarmente grave, se è manifesto o almeno facilmente riconoscibile e se la sicurezza del diritto non viene seriamente messa in pericolo ( DTF 129 I 361 consid. 2.1 con rinvii). Il Tribunale federale ha già avuto modo di specificare che una sentenza contumaciale emanata in seguito ad un'inammissibile convocazione edittale e senza che il convenuto fosse a conoscenza del processo e abbia potuto parteciparvi è toccata da un vizio procedurale talmente grave da risultare nulla ( DTF 129 I 361 consid. 2.2; v. anche DTF 102 III 133 consid. 3).</w:t>
      </w:r>
    </w:p>
    <w:p>
      <w:r>
        <w:rPr>
          <w:b/>
        </w:rPr>
        <w:t>E. 6.3</w:t>
      </w:r>
    </w:p>
    <w:p>
      <w:r>
        <w:t>Come già osservato, in concreto tutta la procedura di esecuzione si è svolta - con riferimento alle comunicazioni da trasmettere all'escusso - in via edittale, senza che fossero dati i presupposti per procedere in tal modo ed impedendo così al debitore di tutelare i suoi diritti. Quest'ultimo è inoltre venuto a conoscenza della procedura esecutiva unicamente ad incanto avvenuto (consid. 3 cpv. 2, non pubblicato). Nella fattispecie in esame l'escusso è quindi stato - senza motivo - escluso dalla procedura che ha portato all'alienazione del suo fondo in modo analogo a quanto accaduto nel processo contumaciale di cui alla DTF 129 I 361 . In queste circostanze, la procedura esecutiva risulta essere inficiata da un vizio talmente grave da dover essere considerata nulla.</w:t>
      </w:r>
    </w:p>
    <w:p>
      <w:r>
        <w:rPr>
          <w:b/>
        </w:rPr>
        <w:t>E. 6.4</w:t>
      </w:r>
    </w:p>
    <w:p>
      <w:r>
        <w:t>Il ricorrente ritiene che la sicurezza del diritto, la sua buona fede e le spese già sopportate per il fondo in discussione siano di ostacolo alla reiezione del rimedio. Giova innanzi tutto rilevare che l'argomentazione è, per quanto concerne i pretesi investimenti sostenuti per il ripristino del fondo, inammissibilmente (consid. 2 e 3 cpv. 2, non pubblicati) fondata su circostanze non accertate dall'autorità di vigilanza e nemmeno fatte valere nella sede cantonale. Per il resto si può osservare che la contestazione dell'aggiudicazione è stata segnalata al ricorrente prima che fosse trascorso un anno dall'incanto ( DTF 98 III 57 consid. 1 pag. 60), periodo durante il quale l'aggiudicatario - indipendentemente dalla sua buona fede - deve aspettarsi una possibile impugnazione ( art. 132a cpv. 3 LEF ) e la conseguente revoca dell'aggiudicazione.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