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56</w:t>
      </w:r>
    </w:p>
    <w:p>
      <w:r>
        <w:t>Bundesgericht (BGE), 2009-12-17, FR</w:t>
      </w:r>
    </w:p>
    <w:p>
      <w:r>
        <w:rPr>
          <w:b/>
        </w:rPr>
        <w:t xml:space="preserve">Quelle: </w:t>
      </w:r>
      <w:r>
        <w:t>https://mcp.opencaselaw.ch/entscheid/bge_BGE_136_III_56</w:t>
      </w:r>
    </w:p>
    <w:p>
      <w:r>
        <w:t>FR: ATF 136 III 56</w:t>
      </w:r>
    </w:p>
    <w:p>
      <w:r>
        <w:t>IT: DTF 136 III 56</w:t>
      </w:r>
    </w:p>
    <w:p>
      <w:pPr>
        <w:pStyle w:val="Heading2"/>
      </w:pPr>
      <w:r>
        <w:t>Regeste</w:t>
      </w:r>
    </w:p>
    <w:p>
      <w:r>
        <w:t>Regeste Art. 74 und 77 CISG; internationaler Warenkauf; entgangener Gewinn infolge Nichterfüllung des Verkäufers; Schadenersatz. Grundsätze hinsichtlich der Bestimmung des entgangenen Gewinns, den ein Käufer dadurch erleidet, dass der Verkäufer sich weigert, ihm eine zum Wiederverkauf bestimmte Ware zu liefern (E. 4). Im vorliegenden Fall hätte der Käufer seinen Schaden durch Vornahme eines Deckungskaufs mindern können; er kann daher nur die Differenz zwischen dem mit dem Verkäufer vereinbarten Preis und dem höheren hypothetischen Kaufpreis verlangen (E. 5).</w:t>
      </w:r>
    </w:p>
    <w:p>
      <w:r>
        <w:t>Regeste Art. 74 et 77 CVIM; vente internationale de marchandises; perte de gain par suite d'inexécution du vendeur; dommages-intérêts. Principes concernant la constatation de la perte de gain subie par l'acheteur lorsque le vendeur a refusé de lui livrer une marchandise destinée à la revente (consid. 4). En l'espèce, l'acheteur aurait pu réduire le dommage en effectuant un achat de remplacement; il ne peut donc réclamer que la différence entre le prix promis au vendeur et le prix plus élevé de cet achat hypothétique (consid. 5).</w:t>
      </w:r>
    </w:p>
    <w:p>
      <w:r>
        <w:t>Regesto Art. 74 e 77 CVIM; vendita internazionale di beni mobili; perdita di guadagno a causa dell'inadempimento del venditore; risarcimento danni. Principi concernenti l'accertamento della perdita di guadagno subita dal compratore qualora il venditore abbia rifiutato di consegnargli merce destinata alla rivendita (consid. 4). In concreto, il compratore avrebbe potuto ridurre il danno mediante un acquisto in sostituzione; egli può pertanto esigere solamente la differenza fra il prezzo pattuito con il venditore e il prezzo più elevato per tale ipotetico acquisto (consid. 5).</w:t>
      </w:r>
    </w:p>
    <w:p>
      <w:pPr>
        <w:pStyle w:val="Heading2"/>
      </w:pPr>
      <w:r>
        <w:t>Erwägungen</w:t>
      </w:r>
    </w:p>
    <w:p>
      <w:r>
        <w:rPr>
          <w:b/>
        </w:rPr>
        <w:t>E. 4</w:t>
      </w:r>
    </w:p>
    <w:p>
      <w:r>
        <w:t>La défenderesse s'est obligée selon l'art. 30 de la Convention des Nations Unies du 11 avril 1980 sur les contrats de vente internationale de marchandises (CVIM; RS 0.221.211.1) à livrer les montres dont elle avait accepté la commande; cette obligation est restée inexécutée et l'autre partie a donc le droit de réclamer des dommages-intérêts conformément à l' art. 45 al. 1 let. b CVIM . En règle générale, d'après l' art. 74 CVIM , les dommages-intérêts comprennent tant la perte subie que le gain manqué par la partie lésée. Ainsi, lorsque la marchandise n'a pas été livrée et que, de manière reconnaissable pour le vendeur, elle était destinée à la revente, l'acheteur peut réclamer au titre du gain manqué le bénéfice qui était prévisible d'après les marges usuelles(CHRISTOPH BRUNNER, UN-Kaufrecht - CISG, 2004, n° 35 ad art. 74 CVIM ; SCHÖNLE/KOLLER, in Kommentar zum UN-Kaufrecht, Heinrich Honsell [éd.], 2 e éd., Berlin 2010, n° 37 ad art. 74 CVIM ; SCHLECHTRIEM/WITZ, Convention de Vienne sur les contrats de vente internationale de marchandises, Paris 2008, p. 264 n° 394; ULRICH MAGNUS, Wiener UN-Kaufrecht (CISG), in Staudingers Kommentar zum BGB, Berlin 2005, n° 40 ad art. 74 CVIM ; GRITLI RYFFEL, Die Schadenersatzhaftung des BGE 136 III 56 S. 58 Verkäufers nach dem Wiener Übereinkommen über internationale Warenkaufverträge, 1992, p. 67; voir aussi INGEBORG SCHWENZER, in Kommentar zum Einheitlichen UN-Kaufrecht, 5 e éd. 2008, n os 36 et 55 ad art. 74 CVIM ). Selon plusieurs auteurs, la Convention ne fixe pas le degré de preuve à exiger aux fins de constater le prix de revente que l'acheteur aurait pu obtenir, et sur ce point, c'est la loi du for qui est déterminante(BRUNO ZELLER, Damages under the Convention on Contracts for the International Sale of Goods, Dobbs Ferry 2005, p. 129; MARTIN BRÖLSCH, Schadensersatz und CISG, Francfort-sur-le-Main 2007, p. 59; voir aussi SCHÖNLE/KOLLER, op. cit., n os 49 et 50 ad art. 74 CVIM ; MAGNUS, op. cit., n° 61 ad art. 74 CVIM ). Lorsque l'action est intentée en Suisse et qu'un montant exact ne peut pas être établi, le dommage - y compris le gain manqué - est éventuellement susceptible d'appréciation selon l' art. 42 al. 2 CO (BRUNNER, op. cit., n os 55 à 57 ad art. 74 CVIM ). Selon un autre avis, le degré de preuve est aussi prescrit par la Convention, à l'exclusion de la loi du for, et le gain manqué doit être établi "avec un degré raisonnable de certitude" (SCHWENZER, op. cit, n° 65 ad art. 74 CVIM ). La Cour civile juge que la demanderesse aurait pu produire, dans le procès, les contrats de revente pour l'exécution desquels elle a passé commande à la défenderesse, et établir ainsi concrètement des prix de revente exacts. En conséquence, selon la Cour, la demanderesse n'est pas autorisée à réclamer une estimation du dommage selon l' art. 42 al. 2 CO ; faute d'avoir produit les contrats, elle a échoué dans la preuve du dommage, ce qui entraîne le rejet de toute prétention. On verra que dans les circonstances de l'espèce, en l'état de la cause, la demanderesse n'a de toute manière pas droit à la pleine compensation du gain manqué; c'est pourquoi il n'est pas nécessaire d'examiner les critiques qu'elle développe sur la base de l' art. 42 al. 2 CO au sujet de la preuve des prix de revente ou de l'estimation du dommage.</w:t>
      </w:r>
    </w:p>
    <w:p>
      <w:r>
        <w:rPr>
          <w:b/>
        </w:rPr>
        <w:t>E. 5</w:t>
      </w:r>
    </w:p>
    <w:p>
      <w:r>
        <w:t>L' art. 77 CVIM impose à la partie lésée de prendre des mesures raisonnables, au regard des circonstances, afin de limiter la perte subie et le gain manqué; si cette partie néglige de le faire, l'autre partie peut demander une réduction des dommages-intérêts égale au montant du préjudice qui aurait dû être évité. BGE 136 III 56 S. 59 Cette règle impose à l'acheteur, lorsque la marchandise ne lui est pas livrée, d'effectuer un achat de remplacement si cette opération est raisonnablement possible(BRUNNER, op. cit., n° 8 ad art. 77 CVIM ; SCHÖNLE/KOLLER, op. cit., n os 36 ad art. 74 CVIM et 8 ad art. 77 CVIM ; SCHLECHTRIEM/WITZ, loc. cit.; MAGNUS, op. cit., n° 11 ad art. 77 CVIM ; MARTIN BRÖLSCH, op. cit., p. 99; voir aussi SCHLECHTRIEM, Schadenersatz und Erfüllungsinteresse, in Festschrift für Apostolos Georgiades, Berne 2006, p. 394). L'acheteur a alors droit à des dommages- intérêts à calculer selon l' art. 75 CVIM , d'après la différence entre le prix convenu entre les parties et celui de cet achat de remplacement. Si l'acheteur a omis l'achat de remplacement qu'il aurait pu raisonnablement faire, les dommages-intérêts sont réduits à ceux qu'il pourrait obtenir s'il avait fait l'achat. La Cour civile constate que la demanderesse avait la possibilité de se procurer des montres des modèles concernés, que la défenderesse lui refusait en violation de ses obligations, en traitant avec le revendeur qui bénéficie désormais de l'exclusivité en Ukraine. La pertinence de ce fait n'est pas sérieusement contestée devant le Tribunal fédéral car la demanderesse se borne à arguer du droit interne suisse alors que la cause relève de la Convention. Il s'ensuit que cette partie n'a pas droit, au regard de l' art. 77 CVIM , à des dommages-intérêts à calculer d'après la différence entre les prix "export" et la valeur de revente, mais seulement d'après la différence entre ces prix "export" et les prix "détaillant" que le revendeur aurait exigés pour fournir les mêmes montres. Le rejet de toute prétention se révèle contraire aux art. 74 et 77 CVIM , en tant que la demanderesse n'obtient pas ces dommages-intérêts réduits. La Cour civile n'a pas constaté les prix "détaillant" et le Tribunal fédéral n'est donc pas en mesure de statuer sur la prétention à reconnaître. Il n'apparaît pas d'emblée que ces prix n'aient pas été allégués et qu'ils ne puissent plus l'être selon le droit cantonal de procédure (cf. ATF 131 III 257 consid. 4.2 p. 267/268). Faute de contenir les motifs déterminants de fait, aux termes de l' art. 112 al. 1 let. b LTF , la décision attaquée doit être annulée en application de l' art. 112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