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w:t>
      </w:r>
    </w:p>
    <w:p>
      <w:r>
        <w:t>Bundesgericht (BGE), 2009-12-04, DE</w:t>
      </w:r>
    </w:p>
    <w:p>
      <w:r>
        <w:rPr>
          <w:b/>
        </w:rPr>
        <w:t xml:space="preserve">Quelle: </w:t>
      </w:r>
      <w:r>
        <w:t>https://mcp.opencaselaw.ch/entscheid/bge_BGE_136_III_51</w:t>
      </w:r>
    </w:p>
    <w:p>
      <w:r>
        <w:t>FR: ATF 136 III 51</w:t>
      </w:r>
    </w:p>
    <w:p>
      <w:r>
        <w:t>IT: DTF 136 III 51</w:t>
      </w:r>
    </w:p>
    <w:p>
      <w:pPr>
        <w:pStyle w:val="Heading2"/>
      </w:pPr>
      <w:r>
        <w:t>Regeste</w:t>
      </w:r>
    </w:p>
    <w:p>
      <w:r>
        <w:t>Regeste Art. 92 f., 265 f. SchKG; Fortsetzung der Betreibung gestützt auf einen Konkursverlustschein. Verhältnis der gerichtlichen Feststellung neuen Vermögens gemäss Art. 265a SchKG zur nachfolgenden Pfändung (E. 3).</w:t>
      </w:r>
    </w:p>
    <w:p>
      <w:r>
        <w:t>Regeste Art. 92 s., 265 s. LP; continuation de la poursuite sur la base d'un acte de défaut de biens après faillite. Rapport entre la constatation judiciaire du retour à meilleure fortune selon l'art. 265a LP et la saisie subséquente (consid. 3).</w:t>
      </w:r>
    </w:p>
    <w:p>
      <w:r>
        <w:t>Regesto Art. 92 seg., 265 seg. LEF; continuazione dell'esecuzione sulla base di un attestato di carenza di beni rilasciato in seguito al fallimento. Relazione fra l'accertamento giudiziale del ritorno a miglior fortuna ai sensi dell'art. 265a LEF e il successivo pignoramento (consid. 3).</w:t>
      </w:r>
    </w:p>
    <w:p>
      <w:pPr>
        <w:pStyle w:val="Heading2"/>
      </w:pPr>
      <w:r>
        <w:t>Erwägungen</w:t>
      </w:r>
    </w:p>
    <w:p>
      <w:r>
        <w:rPr>
          <w:b/>
        </w:rPr>
        <w:t>E. 3</w:t>
      </w:r>
    </w:p>
    <w:p>
      <w:r>
        <w:t>Anlass zur vorliegenden Beschwerde gibt die gegenüber der Beschwerdeführerin vollzogene Pfändung in einer gestützt auf den Konkursverlustschein eingeleiteten Betreibung, welche nach (teilweiser) Verweigerung des Rechtsvorschlages und Feststellung neuen Vermögens fortgesetzt wurde. Unbestritten ist, dass das Betreibungsamt dem Begehren um Fortsetzung der Betreibung für Fr. 13'400.-, d.h. im Umfang, in dem der Richter neues Vermögen der Beschwerdeführerin festgestellt hat, Folge zu leisten hatte. Einziger Streitpunkt ist, welche rechtlichen Regeln für die nachfolgende Pfändung massgebend sind bzw. ob das Betreibungsamt das pfändbare Einkommen der Beschwerdeführerin einzig nach Art. 93 SchKG festzusetzen hat. BGE 136 III 51 S. 53</w:t>
      </w:r>
    </w:p>
    <w:p>
      <w:r>
        <w:rPr>
          <w:b/>
        </w:rPr>
        <w:t>E. 3.1</w:t>
      </w:r>
    </w:p>
    <w:p>
      <w:r>
        <w:t>Die Beschwerdeführerin führt zu Recht aus, dass nach Beendigung des Konkurses eine Forderung erst wieder geltend gemacht werden kann, wenn der Schuldner zu neuem Vermögen gekommen ist ( Art. 265 Abs. 2 SchKG ). Mit dieser Einschränkung der Geltendmachung der Konkursforderungen - welche das Gesetz bereits vor der Teilrevision von 1994 vorsah - soll dem Schuldner die Möglichkeit gegeben werden, sich wirtschaftlich und finanziell zu erholen ( BGE 109 III 93 E. 1 S. 94; BGE 133 III 620 E. 3.1 S. 622; BGE 135 III 424 E. 2.1 S. 425; vgl. FRITZSCHE/WALDER, Schuldbetreibung und Konkurs nach schweizerischem Recht, Bd. II, 1993, § 53 Rz. 6 ff.). Es trifft daher zu, dass die Beschwerdeführerin als ehemalige Konkursitin Anspruch auf eine standesgemässe Lebensführung hat, welche es ihr erlaubt, eine neue Existenz aufzubauen ( BGE 135 III 424 E. 2.1 S. 425). Die Beschwerdeführerin übergeht allerdings, dass als "neues Vermögen" im Sinne von Art. 265 Abs. 2 SchKG der Überschuss der nach Schluss des Konkurses erworbenen Aktiven über die neuen Passiven gilt, und darunter auch der zur Führung eines standesgemässen Lebens übersteigende Arbeitserwerb fällt ( BGE 135 III 424 E. 2.1 S. 425; FRITZSCHE/WALDER, a.a.O., § 53 Rz. 16). Der Erholungszweck wird bei der Ermittlung des Überschusses gewährleistet. Vorliegend hat der Richter das Vorhandensein von neuem Vermögen der Beschwerdeführerin verbindlich festgestellt.</w:t>
      </w:r>
    </w:p>
    <w:p>
      <w:r>
        <w:rPr>
          <w:b/>
        </w:rPr>
        <w:t>E. 3.2</w:t>
      </w:r>
    </w:p>
    <w:p>
      <w:r>
        <w:t>Wenn der Richter den Rechtsvorschlag des Schuldners, wonach er nicht zu neuem Vermögen gekommen sei, nicht bewilligt, wird der Umfang des neuen Vermögens festgestellt ( Art. 265a Abs. 3 SchKG ) und der Gläubiger kann die Betreibung entsprechend fortsetzen (vgl. BGE 79 Ia 113 E. 4 S. 116; GILLIÉRON, Commentaire de la loi fédérale sur la poursuite pour dettes et la faillite, Bd. III, 2001, N. 7 a.E. zu Art. 265a SchKG ). Die gerichtliche Feststellung neuen Vermögens beschränkt umfangmässig die Haftung des Schuldners im Rahmen der hängigen Betreibung. Im Rahmen dieser Beschränkung der Betreibung hat der Schuldner jedoch mit seinem ganzen Vermögen einzustehen. Deshalb hat das Betreibungsamt die Pfändung nach Art. 92 ff. SchKG - wie nach Eingang eines anderen Fortsetzungsbegehrens - vorzunehmen (JEANDIN, in: Commentaire romand, Poursuite et faillite, 2005, N. 28 zu Art. 265 SchKG , N. 27 zu Art. 265a SchKG ; NÄF, in: Kurzkommentar SchKG, 2009, N. 7 zu Art. 265a SchKG ; FRITZSCHE/WALDER, a.a.O., § 53 Rz. 16 a.E. und Fn. 39; FÜRSTENBERGER, Einrede des mangelnden und Feststellung neuen Vermögens nach revidiertem Schuldbetreibungs- und Konkursgesetz, 1999, S. 30 f., 93, 149, 156 f.). BGE 136 III 51 S. 54</w:t>
      </w:r>
    </w:p>
    <w:p>
      <w:r>
        <w:rPr>
          <w:b/>
        </w:rPr>
        <w:t>E. 3.3</w:t>
      </w:r>
    </w:p>
    <w:p>
      <w:r>
        <w:t>Entgegen der Auffassung der Beschwerdeführerin stellt Art. 265 SchKG für die nachfolgende Pfändung keine zusätzlichen Vorschriften, wie ein "Existenzminimum zweiter Ordnung" auf (FÜRSTENBERGER, a.a.O., mit Hinw.), sondern es handelt sich bei der Feststellung neuen Vermögens und der nachfolgenden Pfändung um verschiedene Vorgänge (vgl. BGE 99 Ia 19 E. 3c S. 20; JEANDIN, a.a.O., N. 28 zu Art. 265 SchKG ). Daran hat das neue Recht grundsätzlich nichts geändert. Durch die Einführung der wirtschaftlichen Betrachtungsweise (Art. 265 Abs. 2 a.E. SchKG) und das neu geregelte Verfahren zur Feststellung neuen Vermögens (vgl. Art. 265a SchKG ) sollte vielmehr die Position des Gläubigers gestärkt werden (vgl. BBl 1991 III 157 ff.). Es bestehen keine Anhaltspunkte, dass das neue Recht den Schuldner im Fall, dass er zwar zu neuem Vermögen gekommen ist und die Betreibung nur in diesem begrenzten Umfang fortgesetzt werden kann, in einer nachfolgenden Pfändung zusätzlich schonen wollte. Die Prüfung der Pfändbarkeitsvoraussetzungen durch das Betreibungsamt ist nur dort beschränkt, wo - anders als im konkreten Fall - der Richter nach Art. 265a Abs. 3 zweiter Satz SchKG sogar Vermögenswerte Dritter, über die der Schuldner wirtschaftlich verfügt, direkt als pfändbar erklärt (GASSER, Nachlassverfahren, Insolvenzerklärung und Feststellung neuen Vermögens, ZBJV 1996 S. 22 f.). Wenn die Vorinstanz demnach festgehalten hat, die Pfändung in der Betreibung für eine Konkursverlustscheinforderung unterscheide sich nach Verweigerung des Rechtsvorschlages betreffend fehlenden neuen Vermögens nicht von der Pfändung für eine andere Forderung, und das Betreibungsamt habe nur Art. 92 ff. SchKG zu beachten, stellt dies keine Verletzung von Bundesrecht dar.</w:t>
      </w:r>
    </w:p>
    <w:p>
      <w:r>
        <w:rPr>
          <w:b/>
        </w:rPr>
        <w:t>E. 3.4</w:t>
      </w:r>
    </w:p>
    <w:p>
      <w:r>
        <w:t>Die Beschwerdeführerin stellt die Wirksamkeit der gesetzlichen Regelung in Frage. Obwohl sie sich wirtschaftlich erholt habe, könne die Beschwerdegegnerin als Gläubigerin der Konkursforderung dennoch wieder - wenn auch umfangmässig beschränkt - von neuem auf ihr Einkommen zugreifen und ihr nur das Notwendigste belassen. Die Beschwerdeführerin übernimmt damit die Kritik der Lehre, welche von einem unbefriedigenden Rechtszustand spricht, weil die blosse Einschränkung der Geltendmachung der Konkursverlustscheinsforderungen keinen hinreichenden Anreiz gebe, einen wirtschaftlichen Neuanfang anzustreben (MEIER, Die dogmatische Situation des Vollstreckungsrechts aus der Sicht des schweizerischen Rechts, Zeitschrift für Zivilprozess 121/2008 S. 447 f. [Köln BGE 136 III 51 S. 55 und Berlin]). Deshalb werden Vorschläge für die Regelung einer Restschuldbefreiung gemacht (MEIER, a.a.O., S. 451 ff.) oder sei de lege ferenda zu überlegen, ob im SchKG für die nachfolgende Pfändung nicht direkt eine spezielle Existenzminimumsordnung zu Gunsten des Konkursiten aufgenommen werden könnte (FÜRSTENBERGER, a.a.O., S. 31 f.). Diese Kritik und Vorschläge ändern nichts daran, dass nach geltendem Recht der Gläubiger, dessen Forderung vor Konkurseröffnung entstanden ist, in dem Umfang, in welchem der Richter neues Vermögen festgestellt hat, in der nachfolgenden Pfändung gegen den Schuldner wie ein Gläubiger zu behandeln ist, dessen Forderung erst nach der Konkurseröffnung entstanden ist. In beiden Fällen kann der Schuldner gemäss Art. 93 SchKG bis zum Existenzminimum gepfändet werden.</w:t>
      </w:r>
    </w:p>
    <w:p>
      <w:r>
        <w:rPr>
          <w:b/>
        </w:rPr>
        <w:t>E. 3.5</w:t>
      </w:r>
    </w:p>
    <w:p>
      <w:r>
        <w:t>Nach dem Dargelegten hat die Aufsichtsbehörde mit dem angefochtenen Entscheid weder Art. 265 f. noch Art. 93 Abs. 1 SchKG verletzt, wenn sie die angefochtene Pfändung bestätigt hat.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