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437</w:t>
      </w:r>
    </w:p>
    <w:p>
      <w:r>
        <w:t>Bundesgericht (BGE), 2010-05-18, DE</w:t>
      </w:r>
    </w:p>
    <w:p>
      <w:r>
        <w:rPr>
          <w:b/>
        </w:rPr>
        <w:t xml:space="preserve">Quelle: </w:t>
      </w:r>
      <w:r>
        <w:t>https://mcp.opencaselaw.ch/entscheid/bge_BGE_136_III_437</w:t>
      </w:r>
    </w:p>
    <w:p>
      <w:r>
        <w:t>FR: ATF 136 III 437</w:t>
      </w:r>
    </w:p>
    <w:p>
      <w:r>
        <w:t>IT: DTF 136 III 437</w:t>
      </w:r>
    </w:p>
    <w:p>
      <w:pPr>
        <w:pStyle w:val="Heading2"/>
      </w:pPr>
      <w:r>
        <w:t>Regeste</w:t>
      </w:r>
    </w:p>
    <w:p>
      <w:r>
        <w:t>Regeste Art. 131 Abs. 1 SchKG; Forderungsüberweisung; private Verwertung von verarrestierten Pfandgegenständen. Rechtsnatur des Entscheides über den Bestand einer nach Art. 131 Abs. 1 SchKG überwiesenen Forderung; Zulässigkeit der Beschwerde in Zivilsachen nach Art. 72 Abs. 1 BGG (E. 1.1). Wirkung der Forderungsüberweisung nach Art. 131 Abs. 1 SchKG (E. 3 Ingress). Zulässigkeit der Verrechnung, wenn ein privates Pfandverwertungsrecht (Art. 891 ZGB) nach Verarrestierung des Pfandgegenstandes ausgeübt wird (E. 3.1-3.6). Verhältnis zwischen Verwertung nach Art. 131 Abs. 1 SchKG und Widerspruchsverfahren (E. 4).</w:t>
      </w:r>
    </w:p>
    <w:p>
      <w:r>
        <w:t>Regeste Art. 131 al. 1 LP; cession de créances; réalisation de gage de gré à gré portant sur des objets séquestrés. Nature juridique de la décision statuant sur l'existence d'une créance cédée en vertu de l'art. 131 al. 1 LP; recevabilité du recours en matière civile selon l'art. 72 al. 1 LTF (consid. 1.1). Effet de la cession de créances selon l'art. 131 al. 1 LP (consid. 3 introduction). Admissibilité de la compensation lorsqu'un droit de réalisation du gage de gré à gré (art. 891 CC) est exercé après séquestre de l'objet mis en gage (consid. 3.1-3.6). Relation entre réalisation selon l'art. 131 al. 1 LP et procédure de revendication (consid. 4).</w:t>
      </w:r>
    </w:p>
    <w:p>
      <w:r>
        <w:t>Regesto Art. 131 cpv. 1 LEF; assegnazione dei crediti; realizzazione privata di oggetti sequestrati dati in pegno. Natura giuridica della decisione sull'esistenza di un credito assegnato in virtù dell'art. 131 cpv. 1 LEF; ammissibilità del ricorso in materia civile secondo l'art. 72 cpv. 1 LTF (consid. 1.1). Effetto della cessione secondo l'art. 131 cpv. 1 LEF (consid. 3 introduzione). Ammissibilità della compensazione quando un diritto privato di realizzazione del pegno (art. 891 CC) viene esercitato dopo il sequestro dell'oggetto dato in pegno (consid. 3.1-3.6). Relazione fra la realizzazione secondo l'art. 131 cpv. 1 LEF e la procedura di rivendicazione (consid. 4).</w:t>
      </w:r>
    </w:p>
    <w:p>
      <w:pPr>
        <w:pStyle w:val="Heading2"/>
      </w:pPr>
      <w:r>
        <w:t>Erwägungen</w:t>
      </w:r>
    </w:p>
    <w:p>
      <w:r>
        <w:rPr>
          <w:b/>
        </w:rPr>
        <w:t>E. 1.1</w:t>
      </w:r>
    </w:p>
    <w:p>
      <w:r>
        <w:t>Angefochten ist ein Entscheid über Forderungen, welche den Beschwerdegegnern nach Art. 131 Abs. 1 SchKG durch das Betreibungsamt überwiesen und von diesen eingeklagt wurden. Die Forderungen sind auf die Beschwerdegegner kraft Gesetz im Sinne von Art. 166 OR übergegangen und werden von diesen aus eigenem Recht geltend gemacht (FRITZSCHE/WALDER, Schuldbetreibung und Konkurs [...], Bd. I, 1984, § 30 Rz. 23; GILLIÉRON, Poursuite pour dettes, faillite et concordat, 4. Aufl. 2005, S. 243 Rz. 1260). Der Entscheid über den Bestand einer auf diese Weise abgetretenen Forderung gegenüber dem Drittschuldner - der Beschwerdeführerin - ist materieller Natur und betrifft eine Zivilsache im Sinne von Art. 72 Abs. 1 BGG . In der vorliegenden vermögensrechtlichen Streitigkeit wird die gesetzliche Streitwertgrenze von Fr. 30'000.- erreicht ( Art. 74 Abs. 1 lit. b BGG ). Die Vorinstanz als Fachgericht für handelsrechtliche Streitigkeiten hat als einzige Instanz in verfahrensabschliessender Weise entschieden ( Art. 75 Abs. 2 lit. b und Art. 90 BGG ). Die Beschwerde in Zivilsachen ist grundsätzlich zulässig. (...)</w:t>
      </w:r>
    </w:p>
    <w:p>
      <w:r>
        <w:rPr>
          <w:b/>
        </w:rPr>
        <w:t>E. 2.1</w:t>
      </w:r>
    </w:p>
    <w:p>
      <w:r>
        <w:t>Das Handelsgericht hat geprüft, ob die Beschwerdeführerin gegenüber den Beschwerdegegnern, denen die geltend gemachten Forderungen durch Verwertung nach Art. 131 Abs. 1 SchKG überwiesen wurden, die Verrechnung für eigene Forderungen erklären darf, und - falls diese unzulässig ist - sie sich auf ein Pfandrecht an den Vermögenswerten berufen kann. BGE 136 III 437 S. 441</w:t>
      </w:r>
    </w:p>
    <w:p>
      <w:r>
        <w:rPr>
          <w:b/>
        </w:rPr>
        <w:t>E. 2.1.1</w:t>
      </w:r>
    </w:p>
    <w:p>
      <w:r>
        <w:t>Die Vorinstanz hat zunächst erwogen, dass die Beschwerdeführerin die zwangsvollstreckungsrechtliche Verfügungssperre betreffend die auf A. und die C. Stiftung lautenden Vermögenswerte nicht beachtet habe. Es sei ihr kein Recht zur privaten Verwertung der - die Verwertungsanweisung des Betreibungsamts vom 15. Februar 2005 übersteigenden - restlichen Fondsanteile zugestanden; die Beschwerdeführerin habe die verarrestierten Wertschriften nicht verkaufen und anschliessend die Verrechnung vornehmen dürfen. Die vorhandenen Kontoguthaben seien nur als Folge der technischen Abwicklung (Verkauf von Fondsanteilen) entstanden und nicht dafür bestimmt gewesen, der Beschwerdeführerin zur Verrechnung mit eigenen Forderungen (aus Bankdienstleistungen bzw. Garantie) gegenüber der C. Stiftung zu dienen. Der Selbsthilfeverkauf und die anschliessende Verrechnung mit den entstandenen Guthaben seien unzulässig. Deshalb seien die Guthaben von A. bzw. der C. Stiftung im Umfang der Verrechnung als weiterhin bestehend zu betrachten.</w:t>
      </w:r>
    </w:p>
    <w:p>
      <w:r>
        <w:rPr>
          <w:b/>
        </w:rPr>
        <w:t>E. 2.1.2</w:t>
      </w:r>
    </w:p>
    <w:p>
      <w:r>
        <w:t>Nach Auffassung des Handelsgerichts hat die Beschwerdeführerin sodann ihr Pfandrecht an den verarrestierten ("Arrest II und III") bzw. gepfändeten Vermögenswerten nicht angemeldet. Sie habe ihr Pfandrecht in den Betreibungen verwirkt. Im Übrigen wäre die angeblich unterlassene Einleitung des Widerspruchsverfahrens mit Beschwerde gegen das Betreibungsamt vor den Aufsichtsbehörden zu rügen gewesen.</w:t>
      </w:r>
    </w:p>
    <w:p>
      <w:r>
        <w:rPr>
          <w:b/>
        </w:rPr>
        <w:t>E. 2.1.3</w:t>
      </w:r>
    </w:p>
    <w:p>
      <w:r>
        <w:t>Das Handelsgericht hat geschlossen, dass die Beschwerdeführerin weder eine Verrechnungsbefugnis noch allfällige Pfandrechte an den Vermögenswerten und daher das Guthaben an die Beschwerdegegner - als Abtretungsgläubiger gemäss Art. 131 Abs. 1 SchKG - zu leisten habe. Nach Berücksichtigung eines (Verwertungs-)Überschusses (Fr. 221'496.50) aus einem anderen Arrest- bzw. Betreibungsverfahren ("Arrest I", Betreibung Nr. 4) verbleibe ein Betrag von Fr. 338'503.50, welche die Beschwerdeführerin den Beschwerdegegnern gestützt auf die beiden in Betreibung Nr. 1 und Nr. 2 abgetretenen Forderungen zu bezahlen habe. Die dritte, in Betreibung Nr. 3 ("Arrest IV") abgetretene Forderung sei unbegründet, zumal keine mit Arrest- bzw. Pfändungsbeschlag belegten Vermögenswerte von der Beschwerdeführerin selber verwertet worden seien; weitere Ansprüche seien nicht begründet.</w:t>
      </w:r>
    </w:p>
    <w:p>
      <w:r>
        <w:rPr>
          <w:b/>
        </w:rPr>
        <w:t>E. 2.2</w:t>
      </w:r>
    </w:p>
    <w:p>
      <w:r>
        <w:t>Die Beschwerdeführerin rügt im Wesentlichen eine Verletzung von Art. 120 ff. OR und Art. 884 ff. ZGB , weil das Handelsgericht BGE 136 III 437 S. 442 ihr das Recht auf Verrechnung sowie das Pfandrecht an Vermögenswerten abgesprochen habe. Die Forderungsüberweisung nach Art. 131 Abs. 1 SchKG schliesse ihr Recht, Forderungen gegenüber dem Betriebenen zur Verrechnung zu bringen, nicht aus. Die Verfügungssperre des Betreibungsamtes betreffend die Vermögenswerte des Betriebenen vermöge daran nichts zu ändern. Sodann habe das Handelsgericht mit der Verneinung des Pfandrechts an den Vermögenswerten die Regeln über die Geltendmachung ihrer Ansprüche verletzt, weil das Betreibungsamt nicht nach Art. 106 SchKG (Einleitung des Widerspruchsverfahren) vorgegangen sei. Sie habe ihr Pfandrecht dem Betreibungsamt mehrfach mitgeteilt; im Weiteren sei (mit Hinweis auf BGE 104 III 49 ) anerkannt und notorisch, dass Banken ihre Ansprüche gegenüber dem Bankkunden vertraglich durch Verrechnungs- und Pfandrechte sichern. Die Beschwerdeführerin habe darauf vertrauen dürfen, dass das Betreibungsamt das Widerspruchsverfahren einleiten würde, in welchem sie ihre Pfandrechte geltend machen könne.</w:t>
      </w:r>
    </w:p>
    <w:p>
      <w:r>
        <w:rPr>
          <w:b/>
        </w:rPr>
        <w:t>E. 3</w:t>
      </w:r>
    </w:p>
    <w:p>
      <w:r>
        <w:t>Anlass zur Beschwerde geben Forderungen, welche den Beschwerdegegnern nach Art. 131 Abs. 1 SchKG durch das Betreibungsamt überwiesen und von diesen eingeklagt wurden. Zu Recht ist unbestritten, dass die Abtretung einer Forderung zum Nennwert an Zahlungs statt gemäss Art. 131 Abs. 1 SchKG in ihren Wirkungen der privatrechtlichen Zession entspricht, ungeachtet dessen, dass sie auf einem Verwertungsakt (bzw. einer Verfügung des Betreibungsamtes) beruht. Die Gläubiger - hier die Beschwerdegegner - sind gemeinsam bis zum Nennwert der abgetretenen Forderungen in die Rechte gegen die Drittschuldnerin - hier die Beschwerdeführerin - eingetreten ( BGE 95 II 235 E. 3 S. 238; AMONN/WALTHER, Grundriss des Schuldbetreibungs- und Konkursrechts, 8. Aufl. 2008, § 27 Rz. 50 f.). Sodann steht zu Recht nicht in Frage, dass der Drittschuldner (die Beschwerdeführerin als debitor cessus) den Abtretungsgläubigern nach Art. 169 OR Einreden entgegenhalten kann, u.a. die persönliche Einrede gegen den Zedenten (Betreibungsschuldner) wie die Verrechnung ( BGE 95 II 235 E. 3 S. 238; AMONN/WALTHER, a.a.O., § 27 Rz. 52; GILLIÉRON, Commentaire de la loi fédérale sur la poursuite pour dettes et la faillite, 2000, N. 30 zu Art. 131 SchKG ). Umstritten ist, ob das Handelsgericht der Beschwerdeführerin die Befugnis zur Verrechnung mit eigenen Forderungen gegenüber dem Betriebenen verweigern durfte. BGE 136 III 437 S. 443</w:t>
      </w:r>
    </w:p>
    <w:p>
      <w:r>
        <w:rPr>
          <w:b/>
        </w:rPr>
        <w:t>E. 3.1</w:t>
      </w:r>
    </w:p>
    <w:p>
      <w:r>
        <w:t>Gegenstand der hier nach Art. 131 Abs. 1 SchKG verwerteten bzw. abgetretenen Forderungen sind die Guthaben des Betriebenen, welche im Wesentlichen aus dem Verkauf der verarrestierten Fondsanteile entstanden sind und welche die Beschwerdeführerin als Drittschuldnerin durch Verrechnung getilgt haben will. Dass die Guthaben, welche dem Betriebenen durch die Verwertung der verarrestierten Fondsanteile entstanden sind, ebenfalls unter zwangsvollstreckungsrechtlichen Beschlag gefallen sind und in der Folge durch das Betreibungsamt verwertet werden durften, steht hier zu Recht nicht zur Diskussion; im Übrigen ist die Verwertung nach Art. 131 Abs. 1 SchKG - als betreibungsamtliche Verfügung - unangefochten geblieben und rechtskräftig.</w:t>
      </w:r>
    </w:p>
    <w:p>
      <w:r>
        <w:rPr>
          <w:b/>
        </w:rPr>
        <w:t>E. 3.2</w:t>
      </w:r>
    </w:p>
    <w:p>
      <w:r>
        <w:t>Das Handelsgericht hat der Beschwerdeführerin - entgegen ihrer Darstellung - nicht wegen ihrer Gegenforderung (Forderung, die sie zur Verrechnung bringen will) die Verrechnungsbefugnis verweigert. Es hat die Verrechnungslage deshalb verneint, weil mit Bezug auf die Hauptforderung - d.h. die Forderung des Verrechnungsgegners - die erforderliche Voraussetzung nicht erfüllt sei. Entscheidend sei (unter Hinweis auf BGE 100 III 79 E. 4), dass der Drittschuldner im Zeitpunkt, als er vom Arrest Kenntnis erhielt, die Aussicht hatte, dereinst verrechnen zu können. Hier sei die Hauptforderung nur deshalb entstanden, weil die Beschwerdeführerin die verpfändeten Vermögenswerte von A. bzw. der C. Stiftung nach Arrestbeschlag verwertet habe. Das Betreibungsamt habe zudem auf Anfrage der Beschwerdeführerin ausdrücklich darauf hingewiesen, dass der "Ausgleich von Negativpositionen" nicht erlaubt sei, solange der Arrest- bzw. Pfändungsbeschlag anhalte. Ohne diese Verwertung wäre kein Guthaben (Hauptforderung) auf dem Konto der C. Stiftung gegenüber der Beschwerdeführerin entstanden und hätte diese nicht mit einer Gegenforderung (aus den erbrachten Bankdienstleistungen) verrechnen können.</w:t>
      </w:r>
    </w:p>
    <w:p>
      <w:r>
        <w:rPr>
          <w:b/>
        </w:rPr>
        <w:t>E. 3.3</w:t>
      </w:r>
    </w:p>
    <w:p>
      <w:r>
        <w:t>Aus dem angefochtenen Urteil geht hervor, dass die Beschwerdeführerin verarrestierte Vermögenswerte verwertet hat. Dass das offenbar zwischen der Beschwerdeführerin (als Pfandnehmerin) und A. bzw. der C. Stiftung (als Verpfänder) vereinbarte - im Bankverkehr übliche (ZOBL, Berner Kommentar, Bd. IV, 2. Aufl. 1996, N. 28 und 29 zu Art. 891 ZGB ) - Recht zur Verwertung der verpfändeten Vermögenswerte ( Art. 891 ZGB ) durch das Zwangsvollstreckungsrecht beschränkt wird, stellt die Beschwerdeführerin nicht in Frage. In der Tat kann nach konstanter Rechtsprechung und herrschender BGE 136 III 437 S. 444 Auffassung ein privates Pfandverwertungsrecht ( Art. 891 Abs. 1 ZGB ) - wie die Vorinstanz richtig festgehalten hat - nicht mehr ausgeübt werden, sobald der Pfandgegenstand gepfändet oder verarrestiert worden ist ( BGE 81 III 57 ff.; BGE 108 III 91 E. 3b S. 93; BGE 116 III 23 E. 2 S. 26/27; STEINAUER, Les droits réels, Bd. III, 2003, Rz. 3122b; TUOR/SCHNYDER/SCHMID, Das Schweizerische Zivilgesetzbuch, 13. Aufl. 2009, § 117 Rz. 6; GILLIÉRON, Commentaire, a.a.O, N. 63 zu Art. 98 SchKG ; REISER, in: Kommentar zum Bundesgesetz über Schuldbetreibung und Konkurs, Bd. III, 1998, N. 87 zu Art. 275 SchKG ; AMONN/WALTHER, a.a.O., § 33 Rz. 18; MOSKRIC, Der Lombardkredit, 2003, S. 232-234 mit eingehender Begründung; ZOBL, a.a.O., N. 33 ff. zu Art. 891 ZGB , mit Kritik in N. 40). Es ist daher nicht zu beanstanden, wenn die Vorinstanz angenommen hat, die Beschwerdeführerin habe kein Recht zur privaten Verwertung der verarrestierten Fondsanteile gehabt.</w:t>
      </w:r>
    </w:p>
    <w:p>
      <w:r>
        <w:rPr>
          <w:b/>
        </w:rPr>
        <w:t>E. 3.4</w:t>
      </w:r>
    </w:p>
    <w:p>
      <w:r>
        <w:t>Die Beschwerdegegner weisen darauf hin, die Verrechnung der Beschwerdeführerin sei rechtsmissbräuchlich, weil sie auf einem Verstoss gegen den Arrestbeschlag beruhe. Dass das Guthaben (die Hauptforderung) zu Gunsten der C. Stiftung durch den Verkauf der verarrestierten Fondsanteile entstanden ist, geht aus dem Sachverhalt hervor und ist unbestritten. Entstand aber die der Verrechnung zugrunde liegende Hauptforderung aufgrund eines rechtswidrigen Verhaltens des nachherigen Kompensanten, so kann ihre Tilgung durch Verrechnung rechtsmissbräuchlich sein (AEPLI, Zürcher Kommentar, 3. Aufl. 1991, N. 88 Vorbem. zu Art. 120-126 OR ). Wohl wird im angefochtenen Urteil nicht ausdrücklich von "Rechtsmissbrauch" gesprochen. Wenn das Handelsgericht aber festgehalten hat, die Guthaben (Hauptforderung) aus der unzulässigen - weil gegen den Arrestbeschlag verstossenden - Selbsthilfe bzw. privaten Verwertung ihres Pfandes seien "nicht dafür bestimmt gewesen", der Beschwerdeführerin zur Verrechnung mit eigenen Forderungen zur Verfügung zu stehen, wirft sie ihr wohl eine rechtsmissbräuchliche Verrechnung vor. Nach Auffassung der Vorinstanz hat die Beschwerdeführerin in unzulässiger Weise ihre Rechtsposition verbessert, indem sie einseitig und in Missachtung der laufenden Zwangsvollstreckung unmittelbar eine verrechenbare Hauptforderung geschaffen hat (anstatt ihre allfälligen Pfandrechte - wie alle Gläubiger - nach Art. 106 f. SchKG geltend zu machen). Darauf geht die Beschwerdeführerin nicht ein. Sie beschränkt sich auf die Feststellung, dass ihr ein Verrechnungsrecht zustehe, ohne auf den Grund einzugehen, BGE 136 III 437 S. 445 weshalb die Vorinstanz die Verrechnung als unwirksam erachtet hat. Sie legt nicht dar, inwiefern das Handelsgericht Art. 2 Abs. 2 ZGB (vgl. zum Begriff: BGE 129 III 493 E. 5.1 S. 497) verkannt habe, wenn es angenommen hat, dass ihre Rechtsausübung - die Verrechnung - ohne schützenswertes Interesse erfolgt sei. Insoweit kann auf die Beschwerde mangels hinreichender Begründung nicht eingetreten werden ( Art. 42 Abs. 2 BGG ), und eine abschliessende Beurteilung der Frage des Rechtsmissbrauchs ist im konkreten Fall nicht erforderlich.</w:t>
      </w:r>
    </w:p>
    <w:p>
      <w:r>
        <w:rPr>
          <w:b/>
        </w:rPr>
        <w:t>E. 3.5</w:t>
      </w:r>
    </w:p>
    <w:p>
      <w:r>
        <w:t>Im Übrigen ist nach Art. 125 Ziff. 1 OR die Verrechnung gegen den Willen des Gläubigers ohnehin ausgeschlossen, wenn es um die Rückgabe- bzw. Ersatzverpflichtung aus widerrechtlicher oder böswilliger Vorenthaltung geht. Mit diesem Verrechnungsausschluss kommt der Grundsatz zum Ausdruck, dass aus eigenem Fehlverhalten kein Nutzen gezogen werden darf bzw. diese Schuld nicht zur Befriedigung einer Forderung durch Verrechnung verwendet werden kann (AEPLI, a.a.O., N. 24, 40 zu Art. 125 OR ). Wer z.B. eine hinterlegte Ware entgegen der vertraglichen Abrede verkauft, entzieht diese im Sinne von Art. 125 Ziff. 1 OR und kann daher der Schadenersatzforderung des Vertragspartners nicht die Einrede der Verrechnung entgegenhalten ( BGE 51 III 446 E. 2 S. 448 f.). Das Gleiche muss gelten, wenn - wie hier - die Beschwerdeführerin als Pfandnehmerin das Pfand trotz Arrestbeschlag (d.h. widerrechtlich) privat verwertet hat, obwohl sie um die Verletzung der vom Zwangsvollstreckungsrecht geschützten Rechte wusste (vgl. AEPLI, a.a.O., N. 46 f. zu Art. 125 OR ). Sie kann dem aus dem Verkauf resultierenden Guthaben auf Seiten des Betriebenen jedenfalls nicht gegen den Willen der Beschwerdegegner (welche die Forderung nach Art. 131 Abs. 1 SchKG erworben haben) die Einrede der Verrechnung entgegenhalten. Es ist daher nicht zu beanstanden, wenn das Handelsgericht im Ergebnis einen gesetzlichen Verrechnungsausschluss angenommen hat.</w:t>
      </w:r>
    </w:p>
    <w:p>
      <w:r>
        <w:rPr>
          <w:b/>
        </w:rPr>
        <w:t>E. 3.6</w:t>
      </w:r>
    </w:p>
    <w:p>
      <w:r>
        <w:t>Schliesslich versucht die Beschwerdeführerin nichts für sich aus dem Bundesgesetz vom 3. Oktober 2008 über Bucheffekten (Bucheffektengesetz, BEG; SR 957.1) abzuleiten. Nach diesem Gesetz ist die Verwertung von Bucheffekten, an denen eine Sicherheit bestellt worden ist, und die Verrechnung mit der gesicherten Forderung auch im Zwangsvollstreckungsverfahren gegen den Sicherungsgeber möglich ( Art. 31 Abs. 2 BEG ). Der Gesetzgeber hat sich ausdrücklich von der bisherigen Rechtslage abgewendet und eine neue Regelung BGE 136 III 437 S. 446 geschaffen (Botschaft vom 15. November 2006 zum Bucheffektengesetz sowie Haager Wertpapierübereinkommen, BBl 2006 9381 Ziff. 2.1.7.1; FOËX, Gage sur les droits-valeurs: développements récents, in: Mélanges publiés par l'Association des Notaires Vaudois, 2005, S. 249). Da das BEG erst am 1. Januar 2010 - erst nach der umstrittenen Verrechnung - in Kraft getreten ist und die Beschwerdeführerin in diesem Zusammenhang keine Rügen begründet, erübrigen sich weitere Erörterungen. Nach dem Dargelegten hält vor Bundesrecht stand, wenn das Handelsgericht gefolgert hat, dass die Verrechnungswirkung auszubleiben hat. In diesem Punkt ist die Rüge einer Rechtsverletzung unbegründet.</w:t>
      </w:r>
    </w:p>
    <w:p>
      <w:r>
        <w:rPr>
          <w:b/>
        </w:rPr>
        <w:t>E. 4</w:t>
      </w:r>
    </w:p>
    <w:p>
      <w:r>
        <w:t>Die Beschwerdeführerin wirft dem Handelsgericht weiter eine Verletzung der "Grundsätze des betreibungsrechtlichen Pfändungsverfahrens vor". Sie habe ihr Pfandrecht bzw. den Pfandvertrag dem Betreibungsamt rechtsgenügend zur Kenntnis gebracht. Wenn das Handelsgericht annehme, dass die Verrechnung nicht wirksam erfolgt sei, dann müsse ihr jedoch das Pfandrecht (an den verarrestierten bzw. gepfändeten Vermögenswerten) zugestanden werden. Nach Auffassung des Handelsgerichts hat die Beschwerdeführerin jedoch ihr Pfandrecht an den verarrestierten ("Arrest II" und "Arrest III") bzw. gepfändeten Vermögenswerten nicht angemeldet. Sie habe ihr allfälliges Pfandrecht in den Betreibungen verwirkt und könne dieses den Beschwerdegegnern nicht mehr entgegenhalten.</w:t>
      </w:r>
    </w:p>
    <w:p>
      <w:r>
        <w:rPr>
          <w:b/>
        </w:rPr>
        <w:t>E. 4.1</w:t>
      </w:r>
    </w:p>
    <w:p>
      <w:r>
        <w:t>Die Beschwerdeführerin bezieht ihr Pfandrecht nicht nur auf die verarrestierten bzw. gepfändeten Vermögenswerte, sondern auch auf die Bankguthaben, welche durch die Privatverwertung beim Betriebenen entstanden sind. Die Vorinstanz ist allgemein - und zu Recht unter Hinweis auf BGE 132 III 281 ff. - davon ausgegangen, dass auch bei gepfändeten Bankguthaben, an denen Anspruch erhoben wird, die Vormerkung des Drittanspruchs erforderlich ist. Ob vor dem Hintergrund der Unzulässigkeit der Privatverwertung sich das Pfandrecht "automatisch" auf das entstandene, ebenfalls unter Arrest- bzw. Pfändungsbeschlag stehende Bankguthaben des Betriebenen erstreckt, hat das Handelsgericht nicht ausgeführt; es spricht lediglich von einem "allfälligen Pfandrecht". Die Frage braucht - wie sich aus dem Folgenden ergibt - nicht näher erörtert zu werden.</w:t>
      </w:r>
    </w:p>
    <w:p>
      <w:r>
        <w:rPr>
          <w:b/>
        </w:rPr>
        <w:t>E. 4.2</w:t>
      </w:r>
    </w:p>
    <w:p>
      <w:r>
        <w:t>Zu Recht ist unbestritten, dass die Pfandrechte Dritter am Arrest- bzw. Pfändungsgut (wie Wertpapieren, Bankguthaben) im Widerspruchsverfahren zu klären sind ( Art. 106 ff., 275 SchKG ; BGE 136 III 437 S. 447 AMONN/WALTHER, a.a.O, § 24 Rz. 7, 10). Es trifft zu, dass es nach BGE 104 III 42 (E. 4b S. 49) - auf welchen die Beschwerdeführerin hinweist - den Banken in der Regel leichtfällt, den Bestand der von ihnen geltend gemachten Pfandrechte durch Vorlage von Urkunden sofort zu beweisen, so dass der Gläubiger von vornherein auf eine Widerspruchsklage verzichtet. Entgegen der Meinung der Beschwerdeführerin kann aus dem erwähnten Urteil keinesfalls abgeleitet werden, dass die Anmeldung des Anspruchs gemäss Art. 106 Abs. 1 SchKG (bzw. das sog. Vorverfahren) für Banken entbehrlich wäre (vgl. FRITZSCHE/WALDER, a.a.O., § 26 Rz. 27 S. 369). Eine gültige Anmeldung ist vielmehr Voraussetzung, dass das Betreibungsamt das Widerspruchsverfahren überhaupt eröffnen kann (vgl. Art. 107 ff. SchKG ); gegebenenfalls kann es - wie die Vorinstanz zu Recht erwogen hat - mittels Beschwerde ( Art. 17 Abs. 1 SchKG ) dazu gezwungen werden (AMONN/WALTHER, a.a.O., § 24 Rz. 30; GILLIÉRON, Poursuite, a.a.O., Rz. 1137, 1143).</w:t>
      </w:r>
    </w:p>
    <w:p>
      <w:r>
        <w:rPr>
          <w:b/>
        </w:rPr>
        <w:t>E. 4.3</w:t>
      </w:r>
    </w:p>
    <w:p>
      <w:r>
        <w:t>Die Ausführungen der Beschwerdeführerin zur angeblich rechtzeitigen und wirksamen Anmeldung ihres Pfandrechts sind unbehelflich. Aus dem angefochtenen Urteil geht hervor, dass in den strittigen Arresten bzw. Pfändungen kein Widerspruchsverfahren eröffnet worden ist. Im Übrigen übergeht die Beschwerdeführerin (sowie das Handelsgericht), dass nach Verteilung des Verwertungserlöses das Widerspruchsverfahren gar nicht mehr möglich ist (vgl. Art. 106 Abs. 2 SchKG ; AMONN/WALTHER, a.a.O., § 24 Rz. 24). Bei der Verwertung nach Art. 131 Abs. 1 SchKG - Hingabe an Zahlungs statt - erlöschen die Betreibungen der Abtretungsgläubiger (AMONN/WALTHER, a.a.O., § 27 Rz. 51); diese nehmen insoweit weder am Kollokationsplan noch an der Verteilung teil (GILLIÉRON, Commentaire, a.a.O., N. 17 a.E. zu Art. 131 SchKG ). Im Ergebnis ist nicht zu beanstanden, wenn das Handelsgericht angenommen hat, die Beschwerdeführerin könne den Beschwerdegegnern - denen die Forderung gestützt auf Art. 131 Abs. 1 SchKG überwiesen wurde bzw. deren Betreibungen erloschen sind - kein Pfandrecht entgegenhalten, sondern die umstrittenen Forderungen seien unbelastet verwertet worden. Insoweit kann von einer Rechtsverletzung nicht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