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373</w:t>
      </w:r>
    </w:p>
    <w:p>
      <w:r>
        <w:t>Bundesgericht (BGE), 2010-06-25, DE</w:t>
      </w:r>
    </w:p>
    <w:p>
      <w:r>
        <w:rPr>
          <w:b/>
        </w:rPr>
        <w:t xml:space="preserve">Quelle: </w:t>
      </w:r>
      <w:r>
        <w:t>https://mcp.opencaselaw.ch/entscheid/bge_BGE_136_III_373</w:t>
      </w:r>
    </w:p>
    <w:p>
      <w:r>
        <w:t>FR: ATF 136 III 373</w:t>
      </w:r>
    </w:p>
    <w:p>
      <w:r>
        <w:t>IT: DTF 136 III 373</w:t>
      </w:r>
    </w:p>
    <w:p>
      <w:pPr>
        <w:pStyle w:val="Heading2"/>
      </w:pPr>
      <w:r>
        <w:t>Regeste</w:t>
      </w:r>
    </w:p>
    <w:p>
      <w:r>
        <w:t>Regeste Art. 53 und 84 Abs. 1 SchKG; Gerichtsstand der Rechtsöffnung; Betreibungsort bei Wohnsitzwechsel. Wenn der Schuldner seit der Zustellung des Zahlungsbefehls seinen Wohnsitz verlegt und sein Gläubiger davon sichere Kenntnis erhalten hat, muss das Gesuch um Rechtsöffnung dem Gericht am neuen Wohnsitz des Schuldners gestellt werden, das seine örtliche Zuständigkeit nicht unter Hinweis auf den bisherigen Betreibungsort ablehnen darf (E. 2 und 3).</w:t>
      </w:r>
    </w:p>
    <w:p>
      <w:r>
        <w:t>Regeste Art. 53 et 84 al. 1 LP; for de la mainlevée; for de la poursuite en cas de changement de domicile. Lorsque le débiteur a transféré son domicile depuis la notification du commandement de payer et que son créancier en a eu une connaissance certaine, la demande de mainlevée doit être adressée au tribunal du nouveau domicile du débiteur, qui ne peut pas décliner sa compétence à raison du lieu en se référant à l'ancien for de la poursuite (consid. 2 et 3).</w:t>
      </w:r>
    </w:p>
    <w:p>
      <w:r>
        <w:t>Regesto Art. 53 e 84 cpv. 1 LEF; foro della procedura di rigetto dell'opposizione; foro d'esecuzione in caso di cambiamento di domicilio. Se dopo la notifica del precetto esecutivo il debitore ha cambiato domicilio e il suo creditore ne ha avuto conoscenza certa, la domanda di rigetto dell'opposizione dev'essere inoltrata al tribunale del nuovo domicilio che non può negare la sua competenza territoriale riferendosi al precedente foro d'esecuzione (consid. 2 e 3).</w:t>
      </w:r>
    </w:p>
    <w:p>
      <w:pPr>
        <w:pStyle w:val="Heading2"/>
      </w:pPr>
      <w:r>
        <w:t>Erwägungen</w:t>
      </w:r>
    </w:p>
    <w:p>
      <w:r>
        <w:rPr>
          <w:b/>
        </w:rPr>
        <w:t>E. 2</w:t>
      </w:r>
    </w:p>
    <w:p>
      <w:r>
        <w:t>In tatsächlicher Hinsicht steht verbindlich und unangefochten fest, dass der Beschwerdegegner seit Zustellung des Zahlungsbefehls seinen Wohnsitz verlegt hat. In Kenntnis des Wohnsitzwechsels haben die Beschwerdeführer am neuen Wohnsitz des Beschwerdegegners und Betreibungsschuldners das Gesuch um definitive Rechtsöffnung gestellt. Auf Grund des Sachverhalts stellt sich folgende Streitfrage:</w:t>
      </w:r>
    </w:p>
    <w:p>
      <w:r>
        <w:rPr>
          <w:b/>
        </w:rPr>
        <w:t>E. 2.1</w:t>
      </w:r>
    </w:p>
    <w:p>
      <w:r>
        <w:t>Für natürliche Personen wie den Beschwerdegegner gilt als ordentlicher Betreibungsort der Wohnsitz ( Art. 46 Abs. 1 SchKG ). Verändert der Schuldner seinen Wohnsitz, nachdem ihm die Pfändung angekündigt oder nachdem ihm die Konkursandrohung oder der Zahlungsbefehl zur Wechselbetreibung zugestellt worden ist, so wird gemäss Art. 53 SchKG die Betreibung am bisherigen Orte fortgesetzt. Die Bestimmung erlaubt den Gegenschluss, dass vor den im Gesetz genannten Zeitpunkten der ordentliche Betreibungsort dem jeweiligen Wohnsitz des Schuldners folgt und die am alten Wohnsitz angehobene Betreibung am neuen Wohnsitz weiterzuführen ist. Das Bundesgericht hat die Veränderlichkeit des ordentlichen Betreibungsortes zufolge Wohnsitzwechsels auch mit Bezug auf das Rechtsöffnungsverfahren anerkannt und dabei Regeln aufgestellt, die sich wie folgt zusammenfassen lassen: (1.) Das Rechtsöffnungsgesuch ist dem Gericht am Betreibungsort zu stellen, und zwar selbst dann, wenn die Betreibung nicht am gesetzmässigen Betreibungsort angehoben wurde, der Schuldner aber seinerzeit darauf verzichtet hat, den Zahlungsbefehl wegen örtlicher Unzuständigkeit mit Beschwerde gemäss Art. 17 ff. SchKG anzufechten. (2.) Hat der Schuldner seit der Zustellung des Zahlungsbefehls seinen Wohnsitz verlegt, muss das BGE 136 III 373 S. 375 Gesuch um Rechtsöffnung dem Gericht am neuen Wohnsitz des Schuldners gestellt werden. (3.) Trotz Wohnsitzwechsels seit der Zustellungdes Zahlungsbefehls kann der Schuldner am alten Wohnsitz auf Rechtsöffnung belangt werden, wenn er dem Gläubiger die Wohnsitzverlegung nicht angezeigt hat und der Gläubiger auch nicht sonstwie nachweislich davon erfahren hat oder wenn der Schuldner im Rechtsöffnungsverfahren keine Einrede der Unzuständigkeit erhebt ( BGE 76 I 45 E. 3 S. 48 ff.; BGE 112 III 9 E. 2 S. 11 ff. mit einer Präzisierung der Rechtsprechung; BGE 115 III 28 E. 2 S. 30). Dass Art. 53 SchKG über den Betreibungsort bei Wohnsitzwechsel unmittelbar nur auf den vom Wohnsitz - und analog vom Sitz - des Schuldners abhängigen ordentlichen Betreibungsort ( Art. 46 SchKG ), nicht hingegen auf die besonderen Betreibungsorte ( Art. 48-52 SchKG ) anwendbar ist, ergibt sich aus dem Gesetzestext ( BGE 115 III 28 E. 2 S. 31 mit Hinweis).</w:t>
      </w:r>
    </w:p>
    <w:p>
      <w:r>
        <w:rPr>
          <w:b/>
        </w:rPr>
        <w:t>E. 2.2</w:t>
      </w:r>
    </w:p>
    <w:p>
      <w:r>
        <w:t>Die Rechtsprechung ist vor Inkrafttreten der Änderung des SchKG vom 16. Dezember 1994 am 1. Januar 1997 ergangen. Die Revision von 1994/97 hat Art. 46 Abs. 1 und Art. 53 SchKG nicht erfasst, hingegen einen neuen Art. 84 Abs. 1 SchKG geschaffen. Danach entscheidet das Gericht des Betreibungsortes über Gesuche um Rechtsöffnung. Ein Teil der Lehre und ihr folgend der kantonalen Praxis vertritt gestützt darauf die Ansicht, Art. 53 SchKG komme bei der Rechtsöffnung nicht mehr oder nur mehr in wenigen Ausnahmefällen zur Anwendung, der ursprüngliche Betreibungsort sei auch bei Wohnsitzwechsel massgebend und die gegenteiligen Entscheidungen des Bundesgerichts seien gegenstandslos geworden (JAEGER/WALDER/KULL/KOTTMANN, Bundesgesetz über Schuldbetreibung und Konkurs, Bd. I, 4. Aufl. 1997, Entscheidungen des Bundesgerichts zu Art. 84 SchKG , S. 378; BOLLIGER/JEANNERET, in: Kurzkommentar SchKG, 2009, N. 10 zu Art. 53 SchKG ; z.B. Beschluss des Kantonsgerichts Schwyz vom 14. November 2005, in: Entscheide der Gerichts- und Verwaltungsbehörden des Kantons Schwyz 2005 S. 77 und SJZ 102/2006 S. 66 f.). Nach der anderen Meinung in der Lehre und der ihr folgenden kantonalen Praxis hat die Einführung von Art. 84 Abs. 1 SchKG nichts geändert, weil die Zuständigkeit des Gerichts weiterhin an den Betreibungsort knüpfe, der jedoch gemäss Art. 53 SchKG bei der Verlegung des Wohnsitzes wechsle (DANIEL STAEHELIN, in: Kommentar zum Bundesgesetz über Schuldbetreibung und Konkurs, Bd. I, 1998, N. 22 zu Art. 84 SchKG ; GILLIÉRON, Commentaire de la loi fédérale sur la poursuite pour dettes et la faillite, BGE 136 III 373 S. 376 Bd. I, 1999, N. 25 zu Art. 84 SchKG ; SCHÜPBACH, in: Commentaire romand, 2005, N. 20 zu Art. 53 SchKG ; VOCK, in: Kurzkommentar SchKG, 2009, N. 8 zu Art. 84 SchKG , und viele andere mehr; z.B. Urteile des Obergerichts des Kantons Thurgau vom 21. September 1998, in: Rechenschaftsbericht des Obergerichts des Kantons Thurgau 1998 S. 105 ff., und des Kantons Graubünden vom 18. Oktober 2000, in: Die Praxis des Kantonsgerichts von Graubünden 2000 S. 80 f.).</w:t>
      </w:r>
    </w:p>
    <w:p>
      <w:r>
        <w:rPr>
          <w:b/>
        </w:rPr>
        <w:t>E. 2.3</w:t>
      </w:r>
    </w:p>
    <w:p>
      <w:r>
        <w:t>Das Bundesgericht hat sich zur Streitfrage bisher nicht geäussert. Die Gesetzesauslegung hat deshalb die Frage zu beantworten, ob und wie sich ein Wohnsitzwechsel des Schuldners auf die örtliche Zuständigkeit des Rechtsöffnungsgerichts auswirkt. Ausgangspunkt jeder Auslegung bildet der Wortlaut der Bestimmung. Ist der Text nicht klar und sind verschiedene Interpretationen möglich, so muss nach seiner wahren Tragweite gesucht werden unter Berücksichtigung aller Auslegungselemente, namentlich des Zwecks, des Sinnes und der dem Text zu Grunde liegenden Wertungen.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 BGE 135 III 640 E. 2.3.1 S. 644; BGE 135 V 249 E. 4.1 S. 252). Die Auslegungsgrundsätze gelten auch im Bereich des Vollstreckungsrechts ( BGE 129 III 559 E. 3.1 S. 565).</w:t>
      </w:r>
    </w:p>
    <w:p>
      <w:r>
        <w:rPr>
          <w:b/>
        </w:rPr>
        <w:t>E. 3</w:t>
      </w:r>
    </w:p>
    <w:p>
      <w:r>
        <w:t>Die Auslegung von Art. 84 Abs. 1 SchKG ergibt Folgendes:</w:t>
      </w:r>
    </w:p>
    <w:p>
      <w:r>
        <w:rPr>
          <w:b/>
        </w:rPr>
        <w:t>E. 3.1</w:t>
      </w:r>
    </w:p>
    <w:p>
      <w:r>
        <w:t>Nach dem Gesetzeswortlaut entscheidet das Gericht "des Betreibungsortes" ("du for de la poursuite"; "del luogo d'esecuzione") über Gesuche um Rechtsöffnung. Eine nähere Bestimmung des Betreibungsortes enthält Art. 84 Abs. 1 SchKG genauso wenig wie eine Vielzahl gleichlautender Zuständigkeitsvorschriften im Gesetz (z.B. Art. 77 Abs. 2, Art. 79 Abs. 2, Art. 83 Abs. 2, Art. 85, 85a Abs. 1, Art. 86 Abs. 2 SchKG und viele andere mehr). Sie findet sich in den Art. 46-55 SchKG unter der Überschrift "Ort der Betreibung" ("Du for de la poursuite"; "Del luogo dell'esecuzione").</w:t>
      </w:r>
    </w:p>
    <w:p>
      <w:r>
        <w:rPr>
          <w:b/>
        </w:rPr>
        <w:t>E. 3.2</w:t>
      </w:r>
    </w:p>
    <w:p>
      <w:r>
        <w:t>Eine den Wortlaut einschränkende Auslegung von Art. 84 Abs. 1 SchKG drängt sich auf Grund der Entstehungsgeschichte nicht auf. BGE 136 III 373 S. 377 Die Bestimmung wurde in der parlamentarischen Beratung - nach Diskussionen über einen Anpassungsbedarf an das Lugano-Übereinkommen - unverändert gemäss dem bundesrätlichen Entwurf angenommen (AB 1993 N 19 und S 645 sowie 1994 S 730-732 und N 1405-1407). Laut Botschaft über die Änderung des Bundesgesetzes über Schuldbetreibung und Konkurs (SchKG) vom 8. Mai 1991 (BBl 1991 III 1) will die Revision Systemwidrigkeiten beseitigen und Lücken schliessen (a.a.O., S. 8 Ziff. 113). Gemäss dem Vorentwurf der Expertenkommission von Ende 1981 wird neben weiteren bundesrechtlichen Gerichtsständen (a.a.O., S. 10 f. Ziff. 121) für die Rechtsöffnung neu der Gerichtsstand am Ort der Betreibung gesetzlich festgelegt (a.a.O., S. 67 zu Art. 84 Abs. 1). Hauptgegenstand der Beratungen in der Expertenkommission war nicht der Gerichtsstand der Rechtsöffnung, sondern die Ausgestaltung des Rechtsöffnungsverfahrens, wie es heute in Art. 84 Abs. 2 SchKG geregelt ist. Die Formulierung von Art. 84 Abs. 1 SchKG geht auf die Redaktionskommission des Vorentwurfs zurück. Eine inhaltliche Änderung gegenüber der bisherigen Rechtslage war insoweit nicht beabsichtigt und lässt sich nicht feststellen. Ein Mitglied der damaligen Experten- und Redaktionskommission hat in diesem Sinne auch festgehalten, dass Art. 53 SchKG über den Wohnsitzwechsel nach eingeleiteter Betreibung keine Änderungen erfahren hat und im Normalfall das Rechtsöffnungsverfahren am neuen Wohnort durchgeführt werden muss, wenn der Schuldner seit der Zustellung des Zahlungsbefehls seinen Wohnsitz gewechselt hat, sich der Schuldner aber auf ein Rechtsöffnungsverfahren am ursprünglichen Betreibungsort einlassen muss, wenn er dem Gläubiger seinen Wohnsitzwechsel nicht angezeigt und der Gläubiger davon auch nicht sonstwie sichere Kenntnis erhalten hat oder wenn der Schuldner es unterlässt, vor dem Rechtsöffnungsgericht dessen örtliche Zuständigkeit zu bestreiten (vgl. ROLF RASCHEIN, Der Betreibungsort, BlSchK 51/1987 S. 201 ff., S. 208 Ziff. 6, mit Hinweis auf BGE 112 III 11 ).</w:t>
      </w:r>
    </w:p>
    <w:p>
      <w:r>
        <w:rPr>
          <w:b/>
        </w:rPr>
        <w:t>E. 3.3</w:t>
      </w:r>
    </w:p>
    <w:p>
      <w:r>
        <w:t>Die Regelung des Betreibungsortes ist vor dem Hintergrund der Eigenart des schweizerischen Zwangsvollstreckungsrechts zu sehen. Danach beruht der Zahlungsbefehl ausschliesslich auf den Behauptungen des Gläubigers im Betreibungsbegehren, der darin einseitig geltend macht, ihm stehe ein materiellrechtlicher, erzwingbarer und vollstreckbarer Anspruch gegen den Schuldner zu (vgl. BGE 118 III 10 E. 3a S. 11; BGE 132 III 140 E. 4.1.1 S. 141). Ein derartiges System macht den Schutz des Schuldners unabdingbar. In Übereinstimmung mit BGE 136 III 373 S. 378 der Gerichtsstandsgarantie in Art. 59 Abs. 1 aBV bzw. Art. 30 Abs. 2 BV ist der Schuldner deshalb ordentlich an seinem Wohnsitz zu betreiben. Schuldbetreibung greift indessen über ein blosses Zweiparteienverfahren zwischen dem Betreibungsschuldner und dem Betreibungsgläubiger hinaus. Denn eine gegen einen bestimmten Schuldner durchgeführte Pfändung eröffnet die Anschlussmöglichkeit für andere Gläubiger und der über einen bestimmten Schuldner ausgesprochene Konkurs zieht sämtliche Gläubiger in ein einheitliches Verfahren. Die Rücksichtnahme auf die unbekannte Zahl allenfalls beteiligter Dritter erfordert insofern eine Beschränkung des Schuldnerschutzes, als der ordentliche Betreibungsort nicht während des ganzen Verfahrens dem jeweiligen Wohnsitz des Schuldners folgen kann. In diesem Sinne fixiert Art. 53 SchKG den Betreibungsort am Wohnsitz des Schuldners, nachdem ihm die Pfändung angekündigt oder nachdem ihm die Konkursandrohung oder der Zahlungsbefehl zur Wechselbetreibung zugestellt worden ist. Ab diesem Zeitpunkt sind Veränderungen des Wohnsitzes unbeachtlich und wird die Betreibung am bisherigen Orte fortgesetzt. Auf Grund der geschilderten Interessenlage lässt sich die hier streitige Fixierung des Betreibungsortes auf einen früheren Zeitpunkt nicht begründen. Das Einleitungsverfahren mit Einschluss des Rechtsöffnungsverfahrens ist ein Verfahren ausschliesslich zwischen dem Betreibungsgläubiger und dem Betreibungsschuldner, so dass der Schutz des Schuldners im Vordergrund steht und mögliche Drittgläubiger keiner Rücksichtnahme bedürfen. Die Veränderlichkeit des Gerichtsstandes der Rechtsöffnung bei Wohnsitzwechsel des Schuldners auszuschliessen, lässt sich deshalb weder mit dem Zweck der Regelung noch mit den gesetzgeberischen Wertungen rechtfertigen (vgl. zur Grundidee des Betreibungsortes am Wohnsitz des Schuldners: BGE 26 I 211 E. 5 S. 214; FRITZSCHE/WALDER, Schuldbetreibung und Konkurs nach schweizerischem Recht, Bd. I, 3. Aufl. 1984, § 11 Rz. 2 S. 104).</w:t>
      </w:r>
    </w:p>
    <w:p>
      <w:r>
        <w:rPr>
          <w:b/>
        </w:rPr>
        <w:t>E. 3.4</w:t>
      </w:r>
    </w:p>
    <w:p>
      <w:r>
        <w:t>Der Vergleich mit übereinstimmenden Gerichtsstandsvorschriften lässt keine einschränkende Berücksichtigung des Wohnsitzwechsels erkennen, soweit es um Verfahren geht, die vor den in Art. 53 SchKG festgelegten Zeitpunkten einzuleiten sind. So ist z.B. anerkannt, dass die Aberkennungsklage ( Art. 83 Abs. 2 SchKG ) am neuen Wohnsitz als dem gemäss Art. 53 SchKG massgebenden Betreibungsort zu erheben ist, wenn der Schuldner nach dem Rechtsöffnungsgesuch seinen Wohnsitz ändert (FRITZSCHE/WALDER, a.a.O., § 21 Rz. 5 S. 270; STAEHELIN, a.a.O., N. 36 zu Art. 83 SchKG ). BGE 136 III 373 S. 379</w:t>
      </w:r>
    </w:p>
    <w:p>
      <w:r>
        <w:rPr>
          <w:b/>
        </w:rPr>
        <w:t>E. 3.5</w:t>
      </w:r>
    </w:p>
    <w:p>
      <w:r>
        <w:t>Als Auslegungsergebnis kann festgehalten werden, dass die Gesetzesrevision von 1994/97 mit dem neu geschaffenen Art. 84 Abs. 1 SchKG die bisherige Rechtsprechung zum Gerichtsstand der Rechtsöffnung, namentlich zu dessen Veränderlichkeit bei Wohnsitzwechsel des Schuldners gemäss Art. 53 SchKG , nicht gegenstandslos gemacht hat. Hat der Schuldner - wie hier - den Wohnsitz seit der Zustellung des Zahlungsbefehls verlegt, ist das Gesuch um Rechtsöffnung beim Gericht des neuen Wohnsitzes zu stellen, sofern der Schuldner dem Gläubiger die Wohnsitzverlegung angezeigt hat oder der Gläubiger - wie hier - sonstwie davon erfahren hat. Die abweichende Ansicht, wonach das Gesuch um Rechtsöffnung trotz Wohnsitzwechsels des Schuldners an dessen bisherigem Wohnsitz zu stellen sei, kann nicht geteilt werden. Der angefochtene Unzuständigkeitsentscheid erweist sich als bundesrechtswidrig. Die Beschwerde muss in diesem Punkt gutgeheissen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