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341</w:t>
      </w:r>
    </w:p>
    <w:p>
      <w:r>
        <w:t>Bundesgericht (BGE), 2010-06-02, DE</w:t>
      </w:r>
    </w:p>
    <w:p>
      <w:r>
        <w:rPr>
          <w:b/>
        </w:rPr>
        <w:t xml:space="preserve">Quelle: </w:t>
      </w:r>
      <w:r>
        <w:t>https://mcp.opencaselaw.ch/entscheid/bge_BGE_136_III_341</w:t>
      </w:r>
    </w:p>
    <w:p>
      <w:r>
        <w:t>FR: ATF 136 III 341</w:t>
      </w:r>
    </w:p>
    <w:p>
      <w:r>
        <w:t>IT: DTF 136 III 341</w:t>
      </w:r>
    </w:p>
    <w:p>
      <w:pPr>
        <w:pStyle w:val="Heading2"/>
      </w:pPr>
      <w:r>
        <w:t>Regeste</w:t>
      </w:r>
    </w:p>
    <w:p>
      <w:r>
        <w:t>Regeste Paulianische Anfechtung (Verwirkung); Art. 292 Ziff. 2 SchKG. Bei der Anfechtung nach den Art. 285 ff. SchKG geht es darum, das Vollstreckungssubstrat so herzustellen, wie es sich ohne die angefochtene Rechtshandlung dargeboten hätte (E. 3). Beantragt der Kläger im Zusammenhang mit der Anfechtung von Grundstückveräusserungen zunächst nur die Zusprechung eines Geldbetrags und ändert er sein Klagebegehren erst nach Ablauf der Verwirkungsfrist von Art. 292 Ziff. 2 SchKG dahin ab, dass er (auch) die Einbeziehung der fraglichen Grundstücke in die Konkursmasse verlangt, ist ihm nicht die Einrede der Verwirkung entgegenzuhalten, falls bereits den Ausführungen in der Klageschrift zur Sache klar zu entnehmen war, dass die Geldforderung sich aus einem Anfechtungstatbestand ableitet (E. 4).</w:t>
      </w:r>
    </w:p>
    <w:p>
      <w:r>
        <w:t>Regeste Action révocatoire (péremption); art. 292 ch. 2 LP. L'action révocatoire des art. 285 ss LP vise à reconstituer le patrimoine soumis à l'exécution forcée, comme si l'acte attaqué n'avait pas existé (consid. 3). Si, dans sa demande tendant à la révocation de l'aliénation d'immeubles, le demandeur conclut d'abord au paiement d'une somme d'argent et modifie ensuite ses conclusions après l'écoulement du délai de péremption de l'art. 292 ch. 2 LP, en ce sens qu'il réclame (aussi) la réintégration des immeubles litigieux dans la masse en faillite, l'exception de péremption ne peut pas lui être opposée, dans la mesure où il ressort déjà clairement des allégués de sa demande que la somme d'argent était réclamée sur la base d'un acte révocable (consid. 4).</w:t>
      </w:r>
    </w:p>
    <w:p>
      <w:r>
        <w:t>Regesto Azione revocatoria (perenzione); art. 292 n. 2 LEF. L'azione revocatoria nel senso dell'art. 285 segg. LEF tende a ricostituire il sostrato dell'esecuzione come si sarebbe presentato senza l'atto contestato (consid. 3). Se dalla petizione risulta in modo chiaro che la pretesa di denaro si basa su un atto revocabile, l'eccezione di perenzione non può essere opposta all'attore che chiede con la revocazione dell'alienazione di un fondo dapprima il pagamento di una somma di denaro e, dopo lo scadere del termine di perenzione dell'art. 292 n. 2 LEF, cambia la sua domanda nel senso di (pure) postulare la reintegrazione degli immobili contesi nella massa fallimentare (consid. 4).</w:t>
      </w:r>
    </w:p>
    <w:p>
      <w:pPr>
        <w:pStyle w:val="Heading2"/>
      </w:pPr>
      <w:r>
        <w:t>Erwägungen</w:t>
      </w:r>
    </w:p>
    <w:p>
      <w:r>
        <w:rPr>
          <w:b/>
        </w:rPr>
        <w:t>E. 3</w:t>
      </w:r>
    </w:p>
    <w:p>
      <w:r>
        <w:t>Mit der (paulianischen) Anfechtung sollen Vermögenswerte der Zwangsvollstreckung zugeführt werden, die dieser durch eine der in den Art. 286 bis 288 SchKG umschriebenen Rechtshandlungen entzogen worden sind ( Art. 285 Abs. 1 SchKG ). Die Anfechtungsklage berührt keineswegs die materielle Gültigkeit der Übertragung des in Frage stehenden Vermögenswertes und zielt im Falle eines Grundstücks nicht etwa darauf ab, den entsprechenden Eintrag als unrichtig, d.h. als im Sinne von Art. 974 f. ZGB ungerechtfertigt erklären zu lassen. Es geht einzig darum, das Vollstreckungssubstrat - hier die Konkursmasse - so herzustellen, wie es sich ohne die angefochtene Rechtshandlung dargeboten hätte. Bei einer Gutheissung der Klage hat der ins Recht gefasste Dritte zu dulden, dass der fragliche Vermögenswert gegebenenfalls verwertet wird (dazu BGE 135 III 265 E. 3 S. 268; BGE 131 III 227 E. 3.3 S. 232; BGE 130 III 235 E. 6.2 S. 239; BGE 98 III 44 E. 3 S. 46 f.; BGE 81 III 98 E. 1 S. 102). Wird die Klage wie hier von einem Abtretungsgläubiger erhoben, dient das Verwertungsergebnis der Deckung dessen Forderungen und ist ein Überschuss an die Konkursmasse abzuliefern ( Art. 260 Abs. 2 SchKG ). Gemäss Art. 292 Ziff. 2 SchKG ist das Anfechtungsrecht nach Ablauf von zwei Jahren seit der Konkurseröffnung verwirkt.</w:t>
      </w:r>
    </w:p>
    <w:p>
      <w:r>
        <w:rPr>
          <w:b/>
        </w:rPr>
        <w:t>E. 4</w:t>
      </w:r>
    </w:p>
    <w:p>
      <w:r>
        <w:t>Gegenstand der Beschwerde ist die Frage, welche Bedeutung der Eingabe der Beschwerdeführerin vom 19. Dezember 2007 zukam, insbesondere auch, ob mit ihr ein Anspruch (neu) geltend gemacht wurde, der zum Zeitpunkt des Einreichens der Eingabe bereits im Sinne von Art. 292 Ziff. 2 SchKG verwirkt gewesen sei.</w:t>
      </w:r>
    </w:p>
    <w:p>
      <w:r>
        <w:rPr>
          <w:b/>
        </w:rPr>
        <w:t>E. 4.1</w:t>
      </w:r>
    </w:p>
    <w:p>
      <w:r>
        <w:t>Auszugehen ist von der vom 17. Januar 2007 datierten Klage, die unbestrittenermassen vor Ablauf der in Art. 292 Ziff. 2 SchKG festgelegten Verwirkungsfrist eingereicht wurde. Sie war ausdrücklich als "Actio pauliana nach Art. 288 SchKG " (Absichtsanfechtung) bezeichnet worden. Zur Begründung des Antrags auf Bezahlung von Fr. 420'000.- hatte die Beschwerdeführerin geltend gemacht, die Beschwerdegegnerin habe für die von der M. AG (der Rechtsvorgängerin der Konkursitin) käuflich erworbenen drei Grundstücke mit der blossen Übernahme der Grundpfandschulden - angesichts dessen, dass Banken Liegenschaften nur zu 80 % belehnten - je 20 % zu wenig bezahlt. Der Klageschrift war nach dem Gesagten mit aller Deutlichkeit zu entnehmen, dass die Beschwerdeführerin den geltend gemachten BGE 136 III 341 S. 344 Forderungsanspruch (von Anfang an) aus einer paulianischen Anfechtung der den Grundstückübertragungen zugrunde liegenden Kaufverträge vom 7. und 17. Oktober 2002 abgeleitet hatte. Aus Art. 291 Abs. 1 SchKG ergibt sich, dass der Anfechtungsbeklagte die Einbeziehung des durch eine verpönte Rechtshandlung erworbenen Vermögenswertes als solchen zu dulden hat, soweit er noch darüber verfügt. Ist Letzteres nicht mehr der Fall, besteht die (subsidiäre) Pflicht zur Erstattung eines entsprechenden Geldbetrags (dazu BGE 132 III 489 E. 3.3 S. 494). Da die hier strittigen Grundstücke sich offenbar nach wie vor im Eigentum der Beschwerdegegnerin befinden, wäre eine Zusprechung des von der Beschwerdeführerin geforderten Betrags von vornherein ausser Betracht gefallen.</w:t>
      </w:r>
    </w:p>
    <w:p>
      <w:r>
        <w:rPr>
          <w:b/>
        </w:rPr>
        <w:t>E. 4.2</w:t>
      </w:r>
    </w:p>
    <w:p>
      <w:r>
        <w:t>In der Eingabe vom 19. Dezember 2007 wurde insofern ein neuer (Haupt-)Antrag gestellt, als die Beschwerdeführerin verlangte, die drei Grundstücke seien in die Konkursmasse einzubeziehen. Wie zuvor schon das Amtsgericht qualifiziert das Obergericht die Eingabe als Klageänderung. Es verweist auf den Entscheid der ersten Instanz, wonach die Klageänderung aus der Sicht des kantonalen Prozessrechts zulässig sei, und hält fest, diese Auffassung sei unbestritten geblieben. Die Ausführungen der Beschwerdegegnerin, die die Zulassung der Klageänderung als solche nicht in Frage stellt, geben keinen Anlass, diesen Punkt weiter zu erörtern. Zu prüfen ist einzig die Frage einer allfälligen Verwirkung im Sinne von Art. 292 Ziff. 2 SchKG . Die Eingabe vom 19. Dezember 2007 enthielt insofern nichts Neues, als der dem Rechtsbegehren, die Verwertung der drei Grundstücke zu Gunsten der Konkursmasse zuzulassen, zugrunde liegende Sachverhalt schon aus der Klageschrift vom 17. Januar 2007 klar hervorgegangen war. Bereits aufgrund der Klageschrift wusste die Beschwerdegegnerin mit anderen Worten um die paulianische Anfechtung der Grundstückkäufe, so dass sie den Klagegrund vor Ablauf der Verwirkungsfrist von Art. 292 Ziff. 2 SchKG kannte. In BGE 39 II 368 (E. 1 S. 372) hielt das Bundesgericht - zumindest für den Fall des Konkurses, wo der durch ein anfechtbares Rechtsgeschäft veräusserte Vermögenswert in vollem Umfange zur Masse zu schlagen ist - das Klagebegehren, festzustellen, dass der Anfechtungstatbestand erfüllt sei, für ausreichend; ob das Begehren sich direkt auf die entzogenen Vermögenswerte oder auf die Feststellung der Anfechtbarkeit ihrer Veräusserung beziehe, sei letztlich das Gleiche. Das nach diesem Urteil entscheidende Rechtsbegehren war hier schon in der Eingabe BGE 136 III 341 S. 345 vom 17. Januar 2007 gestellt worden, so dass die Abweisung der Klage wegen Verwirkung des Anfechtungsanspruchs gegen Bundesrecht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