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310</w:t>
      </w:r>
    </w:p>
    <w:p>
      <w:r>
        <w:t>Bundesgericht (BGE), 2010-04-20, FR</w:t>
      </w:r>
    </w:p>
    <w:p>
      <w:r>
        <w:rPr>
          <w:b/>
        </w:rPr>
        <w:t xml:space="preserve">Quelle: </w:t>
      </w:r>
      <w:r>
        <w:t>https://mcp.opencaselaw.ch/entscheid/bge_BGE_136_III_310</w:t>
      </w:r>
    </w:p>
    <w:p>
      <w:r>
        <w:t>FR: ATF 136 III 310</w:t>
      </w:r>
    </w:p>
    <w:p>
      <w:r>
        <w:t>IT: DTF 136 III 310</w:t>
      </w:r>
    </w:p>
    <w:p>
      <w:pPr>
        <w:pStyle w:val="Heading2"/>
      </w:pPr>
      <w:r>
        <w:t>Regeste</w:t>
      </w:r>
    </w:p>
    <w:p>
      <w:r>
        <w:t>Regeste Schadensberechnung bei Körperverletzung (Art. 46 OR). Die zeitliche Grenze der Berufstätigkeit entspricht in der Regel für alle Kategorien von Arbeitnehmern dem Alter, das zum Bezug einer AHV-Rente berechtigt. Diese Grenze kann unter besonderen Umständen hinausgeschoben werden, namentlich im Fall eines Verletzten, der selbständig erwerbstätig ist (E. 4.2.2).</w:t>
      </w:r>
    </w:p>
    <w:p>
      <w:r>
        <w:t>Regeste Calcul du dommage en cas de lésions corporelles (art. 46 CO). L'âge ouvrant le droit à une rente AVS correspond en règle générale pour toutes les catégories de travailleurs à la limite temporelle de l'activité professionnelle. Dans des circonstances particulières, cette limite peut être repoussée notamment dans le cas d'un lésé ayant le statut d'indépendant (consid. 4.2.2).</w:t>
      </w:r>
    </w:p>
    <w:p>
      <w:r>
        <w:t>Regesto Calcolo del danno in caso di lesioni corporali (art. 46 CO). L'età che dà diritto a una rendita AVS corrisponde in linea di massima, per tutte le categorie di lavoratori, al limite temporale dell'attività professionale. In circostanze particolari questo limite può essere procrastinato, segnatamente nel caso di un danneggiato che ha lo statuto d'indipendente (consid. 4.2.2).</w:t>
      </w:r>
    </w:p>
    <w:p>
      <w:pPr>
        <w:pStyle w:val="Heading2"/>
      </w:pPr>
      <w:r>
        <w:t>Erwägungen</w:t>
      </w:r>
    </w:p>
    <w:p>
      <w:r>
        <w:rPr>
          <w:b/>
        </w:rPr>
        <w:t>E. 4</w:t>
      </w:r>
    </w:p>
    <w:p>
      <w:r>
        <w:t>(...) 4.2.2 Selon la jurisprudence, la cessation de toute activité lucrative à l'âge de la retraite correspond sans aucun doute, au moins pour les salariés, au cours ordinaire des choses ( ATF 123 III 115 consid. 6b p. 118). Ce précédent, confirmé très récemment par le Tribunal fédéral dans un cas concernant un indépendant (arrêt 4A_481/2009 du 26 janvier 2010 consid. 5.2.3), pose la règle générale que l'âge ouvrant le droit à une rente AVS correspond pour toutes les catégories de travailleurs à la limite temporelle de l'activité professionnelle. Il n'exclut pas que dans des circonstances particulières, par exemple selon la profession exercée, l'état de santé général ou la situation financière du lésé, cette limite soit repoussée pour les indépendants (cf. à ce propos ROLAND BREHM, Commentaire bernois, 3 e éd. 2006, n° 49 des remarques préliminaires aux art. 45 et 46 CO ). BGE 136 III 310 S. 313 Cette jurisprudence a été approuvée par la doctrine moderne(FRANZ WERRO, La responsabilité civile, 2005, ch. 1039 p. 262/263; le même , in Commentaire romand, Code des obligations, vol. I, n° 26 ad art. 46 CO ; SCHAETZLE/WEBER, Manuel de capitalisation, 5 e éd. 2001, ch. 3.134 p. 381). Certes, le demandeur avait le statut d'indépendant dans son activité de chauffeur de taxi. Le jugement attaqué a cependant retenu que le lésé n'a ni allégué ni établi qu'il aurait eu l'intention de travailler après 65 ans ou qu'il aurait effectivement travaillé au-delà de cet âge. Saisie d'un recours cantonal en nullité contre le jugement du 20 septembre 2007, la Chambre des recours du Tribunal cantonal vaudois, par arrêt du 15 décembre 2008, a jugé que la constatation précitée de la Cour civile ne procédait pas d'une appréciation arbitraire des preuves administrées et que le principe procédural de l'autonomie des parties dans l'allégation des faits avait été respecté. Or, le demandeur n'a pas formé de recours au Tribunal fédéral contre l'arrêt précité valant en la matière décision de dernière instance au sens de l' art. 75 al. 1 LTF , décision qui est désormais définitive. Il s'ensuit que les recourantes ne peuvent plus remettre en cause cette constatation dans le présent recours en matière civile. Le moyen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