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305</w:t>
      </w:r>
    </w:p>
    <w:p>
      <w:r>
        <w:t>Bundesgericht (BGE), 2010-03-03, DE</w:t>
      </w:r>
    </w:p>
    <w:p>
      <w:r>
        <w:rPr>
          <w:b/>
        </w:rPr>
        <w:t xml:space="preserve">Quelle: </w:t>
      </w:r>
      <w:r>
        <w:t>https://mcp.opencaselaw.ch/entscheid/bge_BGE_136_III_305</w:t>
      </w:r>
    </w:p>
    <w:p>
      <w:r>
        <w:t>FR: ATF 136 III 305</w:t>
      </w:r>
    </w:p>
    <w:p>
      <w:r>
        <w:t>IT: DTF 136 III 305</w:t>
      </w:r>
    </w:p>
    <w:p>
      <w:pPr>
        <w:pStyle w:val="Heading2"/>
      </w:pPr>
      <w:r>
        <w:t>Regeste</w:t>
      </w:r>
    </w:p>
    <w:p>
      <w:r>
        <w:t>Regeste Herabsetzung bei Verfügungen unter Lebenden (Art. 522 Abs. 1 und Art. 527 ZGB). Hat der Erblasser einzelnen seiner Nachkommen Darlehen gewährt mit der ausdrücklichen Erklärung, diese seien nicht zu verzinsen, ist in dieser Unentgeltlichkeit keine der Herabsetzung unterliegende Zuwendung im Sinne von Art. 527 Abs. 1 ZGB zu erblicken (E. 3).</w:t>
      </w:r>
    </w:p>
    <w:p>
      <w:r>
        <w:t>Regeste Réduction de libéralités entre vifs (art. 522 al. 1 et art. 527 CC). Lorsque le défunt a accordé à certains de ses descendants des prêts, en mentionnant expressément qu'ils ne portent pas intérêts, cette gratuité ne constitue pas une libéralité sujette à réduction au sens de l'art. 527 al. 1 CC (consid. 3).</w:t>
      </w:r>
    </w:p>
    <w:p>
      <w:r>
        <w:t>Regesto Riduzione di disposizioni fra vivi (art. 522 cpv. 1 e art. 527 CC). Se il de cuius ha concesso a determinati discendenti mutui dichiarando espressamente che essi non producono interessi, questa gratuità non costituisce una liberalità soggetta a riduzione nel senso dell'art. 527 cpv. 1 CC (consid. 3).</w:t>
      </w:r>
    </w:p>
    <w:p>
      <w:pPr>
        <w:pStyle w:val="Heading2"/>
      </w:pPr>
      <w:r>
        <w:t>Erwägungen</w:t>
      </w:r>
    </w:p>
    <w:p>
      <w:r>
        <w:rPr>
          <w:b/>
        </w:rPr>
        <w:t>E. 3</w:t>
      </w:r>
    </w:p>
    <w:p>
      <w:r>
        <w:t>Falls der Erblasser seine Verfügungsbefugnis überschritten hat, können die Erben, die nicht dem Werte nach ihren Pflichtteil erhalten, die Herabsetzung der Verfügung auf das erlaubte Mass verlangen ( Art. 522 Abs. 1 ZGB ). Wie die Verfügungen von Todes wegen unterliegen nach Art. 527 ZGB der Herabsetzung unter anderem die Zuwendungen auf Anrechnung an den Erbteil, als Heiratsgut, Ausstattung oder Vermögensabtretung, wenn sie nicht der Ausgleichung unterworfen sind (Ziff. 1), sowie die Entäusserung von Vermögenswerten, die der Erblasser offenbar zum Zweck der Umgehung der Verfügungsbeschränkung vorgenommen hat (Ziff. 4).</w:t>
      </w:r>
    </w:p>
    <w:p>
      <w:r>
        <w:rPr>
          <w:b/>
        </w:rPr>
        <w:t>E. 3.1</w:t>
      </w:r>
    </w:p>
    <w:p>
      <w:r>
        <w:t>Unter "Zuwendung" kann in einem obligationenrechtlichen Sinn jede Handlung verstanden werden, durch die eine Person einer anderen einen Vermögensvorteil verschafft. Die Zuwendung kann sich aus einem Vermögensopfer oder aus einer Arbeitsleistung ergeben (VON TUHR/PETER, Allgemeiner Teil des Schweizerischen Obligationenrechts, Bd. I, 3. Aufl. 1979, S. 198 f.). In Art. 527 Ziff. 1 ZGB wird ausdrücklich (nur) der Begriff "Vermögensabtretung" verwendet. Es rechtfertigt sich unter diesen Umständen, der erbrechtlichen Herabsetzung einzig Tatbestände zu unterstellen, die auf einem Vermögensopfer beruhen. Die Zuwendung besteht entweder in der Übertragung eines Rechts oder im Verzicht auf ein solches. Rein wirtschaftlich betrachtet, kann der Verzicht auf das Entstehen eines Rechts - wie etwa auf Zinse - zum gleichen Ergebnis führen wie der Verzicht auf ein Recht. Das bedeutet jedoch nicht schon, dass die beiden Tatbestände aus erbrechtlicher Sicht gleich zu behandeln wären. So ist darauf hinzuweisen, dass beispielsweise bei der mit der Herabsetzung verwandten Ausgleichung ( Art. 626 ff. ZGB ) der Betrag sich nach der Natur der Zuwendung bemisst: Bei einem Geldbetrag in Landeswährung bleibt es beim Nominalwert und ist genau der zugewendete Betrag zum Nachlass hinzuzurechnen, unabhängig davon, wie der Empfänger das Geld angelegt hat. Demgegenüber trägt der Empfänger im Falle der Zuwendung eines Gegenstandes oder eines bestimmten Rechts in dem Sinne Nutzen und Gefahr von Wertschwankungen, dass bei einer Wertsteigerung der höhere Wert, bei einer Verminderung lediglich der niedrigere Wert zu berücksichtigen ist (Urteil des Bundesgerichts 5A_477/2008 vom 11. August 2009 E. 4; vgl. auch PETER WEIMAR, Berner Kommentar, 3. Aufl. 2009, N. 36 f. zu Art. 475 ZGB ). Das schweizerische Erbrecht kennt BGE 136 III 305 S. 308 mithin nicht eine absolute Gleichstellung der Erben. Erfasst werden auch bei der Herabsetzung zur Absicherung der Pflichtteile grundsätzlich nur bestimmte lebzeitige Vorgänge, und es ist deshalb angebracht, nur eigentliche Entäusserungen Art. 527 Ziff. 1 bis 3 ZGB zu unterstellen.</w:t>
      </w:r>
    </w:p>
    <w:p>
      <w:r>
        <w:rPr>
          <w:b/>
        </w:rPr>
        <w:t>E. 3.2.1</w:t>
      </w:r>
    </w:p>
    <w:p>
      <w:r>
        <w:t>Der wirtschaftliche Vorteil, den die Beschwerdegegnerinnen aus den ihnen in Verbindung mit den Grundstückkäufen gewährten Darlehen gezogen haben, geht nicht darauf zurück, dass die Erblasserin auf ein Recht verzichtet hätte: Wie auch das Obergericht festhält, bestimmt Art. 313 Abs. 1 OR , Darlehen seien im gewöhnlichen Verkehr nur dann verzinslich, wenn es so verabredet sei. Zins ist in diesen Fällen mit anderen Worten keine gesetzliche Folge des Darlehens und bedarf einer vertraglichen Abmachung. Aus der angeführten Bestimmung ergibt sich zudem, dass Unentgeltlichkeit zu vermuten ist (PETER HIGI, Zürcher Kommentar, 3. Aufl. 2003, N. 6 zu Art. 313 OR ).</w:t>
      </w:r>
    </w:p>
    <w:p>
      <w:r>
        <w:rPr>
          <w:b/>
        </w:rPr>
        <w:t>E. 3.2.2</w:t>
      </w:r>
    </w:p>
    <w:p>
      <w:r>
        <w:t>Nach den unbestrittenen Feststellungen der Vorinstanz wurde für die fraglichen Darlehen von Anfang an ausdrücklich die Unentgeltlichkeit vereinbart. Es ist demnach nicht so, dass die Erblasserin mit einer entsprechenden Vereinbarung zunächst einen Anspruch auf Zinsen erworben hätte, auf deren Einforderung sie nachträglich verzichtet hätte. Die Erblasserin hat einen Zinsanspruch vielmehr gar nicht erst entstehen lassen. Insoweit ist nach dem Gesagten keine Zuwendung im Sinne des Herabsetzungstatbestands von Art. 527 Abs. 1 ZGB vorhanden, die zu einer Hinzurechnung eines über die Nominalsummen der Darlehen hinausgehenden Betrags führen würde.</w:t>
      </w:r>
    </w:p>
    <w:p>
      <w:r>
        <w:rPr>
          <w:b/>
        </w:rPr>
        <w:t>E. 3.2.3</w:t>
      </w:r>
    </w:p>
    <w:p>
      <w:r>
        <w:t>Den Darlegungen des Obergerichts zur Höhe bzw. zum Charakter von Darlehenszinsen, die einzusetzen seien, ist nach dem Ausgeführten die Grundlage entzogen. Die vorinstanzliche Auffassung zu diesem Punkt ist daher nicht näher zu erörtern. Festgehalten sei lediglich, dass das Obergericht verkennt, dass das unentgeltliche Einräumen von Vorteilen - unabhängig von deren wirtschaftlicher Bedeutung - für sich allein noch keine Zuwendung im hier einschlägigen Sinne darstellt.</w:t>
      </w:r>
    </w:p>
    <w:p>
      <w:r>
        <w:rPr>
          <w:b/>
        </w:rPr>
        <w:t>E. 3.3</w:t>
      </w:r>
    </w:p>
    <w:p>
      <w:r>
        <w:t>Sodann widerspricht der Beschwerdeführer der vorinstanzlichen Feststellung, die Erblasserin habe keine verpönten Entäusserungsabsichten gehabt: Mit den unentgeltlichen Zuwendungen an die BGE 136 III 305 S. 309 Beschwerdegegnerinnen in Form von Zinsausfall habe die Erblasserin sich ihres Vermögens offensichtlich zum Zweck der Umgehung der Verfügungsbeschränkung, d.h. zur Schmälerung seines Pflichtteils, entäussert; die strittige Zuwendung sei daher auch gestützt auf Art. 527 Ziff. 4 ZGB herabzusetzen. Die Absicht einer Person lässt sich unmittelbar nur durch deren Aussagen und daneben bloss durch Schlussfolgerungen aus dem äusseren Verhalten der fraglichen Person und aus den äusseren Gegebenheiten, die auf sie eingewirkt haben, ermitteln. Es geht mithin um eine Frage tatsächlicher Natur (vgl. BGE 134 III 452 E. 4.1 S. 456). Was der Beschwerdeführer zu den Umständen der strittigen Zuwendungen vorträgt, ist rein appellatorischer Natur und deshalb nicht geeignet, die obergerichtliche Annahme, die Erblasserin habe keine Absicht gehabt, den Beschwerdegegnerinnen einen unentgeltlichen Vorteil zu verschaffen und ihn zu schädigen, als willkürlich erscheinen zu lassen. Damit ist durch den Verzicht der Erblasserin auf Darlehenszinsen auch der Herabsetzungstatbestand von Art. 527 Ziff. 4 ZGB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