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247</w:t>
      </w:r>
    </w:p>
    <w:p>
      <w:r>
        <w:t>Bundesgericht (BGE), 2010-02-24, DE</w:t>
      </w:r>
    </w:p>
    <w:p>
      <w:r>
        <w:rPr>
          <w:b/>
        </w:rPr>
        <w:t xml:space="preserve">Quelle: </w:t>
      </w:r>
      <w:r>
        <w:t>https://mcp.opencaselaw.ch/entscheid/bge_BGE_136_III_247</w:t>
      </w:r>
    </w:p>
    <w:p>
      <w:r>
        <w:t>FR: ATF 136 III 247</w:t>
      </w:r>
    </w:p>
    <w:p>
      <w:r>
        <w:t>IT: DTF 136 III 247</w:t>
      </w:r>
    </w:p>
    <w:p>
      <w:pPr>
        <w:pStyle w:val="Heading2"/>
      </w:pPr>
      <w:r>
        <w:t>Regeste</w:t>
      </w:r>
    </w:p>
    <w:p>
      <w:r>
        <w:t>Regeste Art. 288 SchKG; Anfechtbarkeit von Darlehenszinsen. Die Anfechtungsklage ist, ihrer Natur entsprechend, ein restriktiv zu handhabender Ausnahmetatbestand (E. 2). Bei gleichwertiger Gegenleistung liegt keine Gläubigerschädigung vor (E. 3). Darlehenszinsen sind die synallagmatische Gegenleistung für die Wertgebrauchsüberlassung der Valuta (E. 5). Periodische Zinsen werden mit Blick auf die Fortsetzung der Kreditierung geleistet, weshalb ihre vertragsgemässe Entrichtung in der Regel nicht anfechtbar ist (E. 6).</w:t>
      </w:r>
    </w:p>
    <w:p>
      <w:r>
        <w:t>Regeste Art. 288 LP; révocabilité du paiement d'intérêts de prêts de consommation. L'action révocatoire est, conformément à sa nature, un moyen exceptionnel à utiliser de manière restrictive (consid. 2). Absence de préjudice causé aux créanciers en présence d'une contre-prestation de même valeur (consid. 3). Les intérêts de prêts de consommation sont la contre-prestation synallagmatique de la cession de l'usage de valeurs en argent (consid. 5). Les intérêts périodiques étant payés dans la perspective du maintien du crédit, leur versement conforme au contrat n'est en règle générale pas soumis à révocation (consid. 6).</w:t>
      </w:r>
    </w:p>
    <w:p>
      <w:r>
        <w:t>Regesto Art. 288 LEF; revocabilità di interessi di un mutuo. L'azione revocatoria è, conformemente alla sua natura, uno strumento eccezionale da utilizzare in modo restrittivo (consid. 2). Nel caso di una controprestazione equivalente non vi è un pregiudizio per i creditori (consid. 3). Gli interessi di un mutuo sono la controprestazione sinallagmatica per la cessione dell'uso del valore del denaro (consid. 5). Interessi periodici vengono versati nella prospettiva del mantenimento del credito, motivo per cui la loro corresponsione conforme al contratto non è di regola revocabile (consid. 6).</w:t>
      </w:r>
    </w:p>
    <w:p>
      <w:pPr>
        <w:pStyle w:val="Heading2"/>
      </w:pPr>
      <w:r>
        <w:t>Erwägungen</w:t>
      </w:r>
    </w:p>
    <w:p>
      <w:r>
        <w:rPr>
          <w:b/>
        </w:rPr>
        <w:t>E. 2</w:t>
      </w:r>
    </w:p>
    <w:p>
      <w:r>
        <w:t>Die Anfechtungsklage gemäss Art. 285 ff. SchKG ist ein im Dienst der Gläubigergleichbehandlung stehendes Instrument, bei dem es um die Rückführung von aus vollstreckungsrechtlicher Sicht unrechtmässig entäussertem Substrat geht, indem bestimmte Handlungen des Schuldners, die während einer gesetzlich festgelegten Verdachtsperiode vorgenommen worden sind, auf der vollstreckungsrechtlichen Ebene unbeachtlich bleiben, wenn tatsächlich der Konkursfall eingetreten ist oder ein Gläubiger einen Pfändungsverlust erlitten hat. Die betreffenden Rechtsgeschäfte bleiben zwar zivilrechtlich gültig, aber die übertragenen Vermögenswerte werden der Zwangsvollstreckung zugeführt (vgl. Art. 285 Abs. 1 und Art. 291 Abs. 1 SchKG ). Durch die Rückführung von Vollstreckungssubstrat in die Masse wird die dem Insolvenzrecht zugrunde liegende Maxime der Gläubigergleichbehandlung ( Art. 197 Abs. 1 SchKG , unter Vorbehalt von Art. 219 SchKG ) gewissermassen auf die Verdachtsperiode vorverlagert. In diesem Stadium kann jedoch die Gleichbehandlung der Gläubiger weder absolute Maxime noch Selbstzweck sein; insofern handelt es sich bei der Anfechtungsklage um einen Ausnahmetatbestand, der seiner Natur nach restriktiv zu handhaben ist. Es darf insbesondere nicht aus den Augen verloren gehen, dass zivilrechtliches Handeln immer auch vor dem Hintergrund der Insolvenzbeständigkeit vor sich geht. Es ist im Geschäftsverkehr einerlei, ob ein Rechtsgeschäft durch eine allfällige Anfechtungsklage zivilrechtlich dahinfällt oder ob lediglich die Vollstreckung in die empfangenen Vermögenswerte zu dulden ist; unabhängig von der rechtlichen Ausgestaltung des Institutes der Anfechtung bzw. von der technischen Umsetzung ist das Vertrauen in die Beständigkeit zivilrechtlich gültig geschlossener Verträge und damit die Rechtssicherheit betroffen. In diesem Sinn geht es beim Institut der Anfechtungsklage nicht darum, den Schuldner faktisch seiner Handlungsfähigkeit zu berauben und ihn zu immobilisieren, zumal damit in der Regel seine sofortige Konkursreife herbeigeführt würde, was selten im Interesse der Gläubigergesamtheit liegen dürfte. Dem Schuldner muss mit anderen Worten selbst in schwierigen Zeiten bzw. bei finanziell angespannter Lage eine normale Geschäftstätigkeit möglich sein (Urteil 5A_386/2008 vom 6. April 2009 E. 4.3), und auch sachlich BGE 136 III 247 S. 250 motivierte Entscheide des Schuldners im Rahmen dieser Tätigkeit können naturgemäss eine Ungleichbehandlung der Gläubiger beinhalten. Die Anfechtungsklage soll dort greifen, wo es um unlautere Machenschaften geht, wie es namentlich der Fall ist, wenn Vollstreckungssubstrat beiseitegeschafft worden ist, das sich bei normalem Geschäftsgebaren in der Masse noch vorgefunden hätte.</w:t>
      </w:r>
    </w:p>
    <w:p>
      <w:r>
        <w:rPr>
          <w:b/>
        </w:rPr>
        <w:t>E. 3</w:t>
      </w:r>
    </w:p>
    <w:p>
      <w:r>
        <w:t>Vorliegend wird die Absichtspauliana gemäss Art. 288 SchKG angerufen. Nach dieser Norm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Der Absichtsanfechtung unterliegen gemäss Art. 331 Abs. 1 SchKG auch Rechtshandlungen, die der Schuldner vor der Bestätigung des Nachlassvertrages vorgenommen hat. Der Tatbestand von Art. 288 SchKG kennt drei Voraussetzungen: Die angefochtene Handlung muss die Gläubigergesamtheit nicht nur schädigen, sondern vom Schuldner auch in der betreffenden Absicht vorgenommen worden sein, was schliesslich für den begünstigten Dritten erkennbar gewesen sein muss. Alle drei Voraussetzungen hat zu beweisen, wer aus der Erfüllung des Tatbestandes Rechte ableitet (vgl. Art. 8 ZGB ), in der Regel also der Anfechtungskläger und hier die Beschwerdeführerin ( BGE 134 III 452 E. 2 S. 454 m.w.H.; siehe auch AMONN/WALTHER, Grundriss des Schuldbetreibungs- und Konkursrechts, 8. Aufl. 2008, § 52 Rz. 25). Was das objektive Tatbestandsmerkmal von Art. 288 SchKG anbelangt, liegt dieses nach einer stehenden Formel in einer Schädigung der anderen Gläubiger durch eine Beeinträchtigung ihrer Exekutionsrechte begründet, indem ihre Befriedigung im Rahmen der General- oder Spezialexekution oder ihre Stellung im Vollstreckungsverfahren wegen der Bevorzugung des einen Gläubigers beeinträchtigt wird ( BGE 135 III 265 E. 2 S. 267, BGE 135 III 513 E. 3.1 S. 515). Daran fehlt es grundsätzlich, wenn die anderen Gläubiger auch bei richtigem Verhalten des Schuldners zum gleichen Verlust gekommen wären (sog. rechtmässiges Alternativverhalten),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134 III 615 E. 4.1 S. 617; BGE 135 III 265 BGE 136 III 247 S. 251 E. 2 S. 267). An einer Schädigung fehlt es in der Regel auch, wenn die angefochtene Rechtshandlung im Austausch gleichwertiger Leistungen besteht ( BGE 134 III 452 E. 3.1 S. 455; BGE 135 III 276 E. 6.1.2 S. 280). Ein solcher liegt beispielsweise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 All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sie bewirkt deshalb - unter Vorbehalt von Konkursprivilegien und dinglichen Vorrechten - in der Regel eine Schädigung der anderen Gläubiger ( BGE 99 III 27 E. 5 S. 38; BGE 134 III 452 E. 3.1 S. 455).</w:t>
      </w:r>
    </w:p>
    <w:p>
      <w:r>
        <w:rPr>
          <w:b/>
        </w:rPr>
        <w:t>E. 4</w:t>
      </w:r>
    </w:p>
    <w:p>
      <w:r>
        <w:t>Das Handelsgericht hat die Gläubigerschädigung bejaht, die Schädigungsabsicht offengelassen und deren Erkennbarkeit verneint. Offenbar wegen der Bejahung der Gläubigerschädigung konzentriert sich die Beschwerdeführerin in ihrer Beschwerde auf die beiden subjektiven Tatbestandsmerkmale der Schädigungsabsicht und der Erkennbarkeit. Zu beweisen hat sie nach dem in E. 3 Gesagten jedoch sämtliche Tatbestandselemente, wie sie im kantonalen Prozess auch alle thematisiert worden sind. Unabhängig von der Bejahung durch das Handelsgericht ist das Tatbestandsmerkmal der Gläubigerschädigung vom Bundesgericht im Rahmen der Rechtsanwendung von Amtes wegen ( Art. 106 Abs. 1 BGG ) erneut zu prüfen, was der Beschwerdeführerin bekannt sein musste. Die BGE 136 III 247 S. 252 Beschwerdegegnerin setzt sich in ihrer Vernehmlassung denn auch eingehend damit auseinander, weshalb ihr rechtliches Gehör gewahrt bleibt, wenn das Bundesgericht den angefochtenen Entscheid in den nachfolgenden Erwägungen aufgrund einer Motivsubstitution schützt, indem es die Gläubigerschädigung anders beurteilt als das Handelsgericht (zur Möglichkeit und Zulässigkeit der Motivsubstitution infolge Rechtsanwendung von Amtes wegen siehe statt vieler BGE 132 II 257 E. 2.5 S. 262).</w:t>
      </w:r>
    </w:p>
    <w:p>
      <w:r>
        <w:rPr>
          <w:b/>
        </w:rPr>
        <w:t>E. 5</w:t>
      </w:r>
    </w:p>
    <w:p>
      <w:r>
        <w:t>Während die wohl herrschende Lehre den entgeltlichen Darlehensvertrag als vollkommen zweiseitig ansieht (vgl. Zusammenstellung der Lehrmeinungen bei SCHÄRER/MAURENBRECHER, in: Basler Kommentar, Obligationenrecht, Bd. I, 4. Aufl. 2007, N. 1 zu Art. 312 OR ), geht das Bundesgericht von einem unvollkommen zweiseitigen Vertrag aus ( BGE 80 II 327 E. 4a S. 334; BGE 93 II 189 lit. b S. 192), weil die allenfalls hinzutretende Verzinsung für den Darlehensvertrag begrifflich unwesentlich ist ( BGE 80 II 327 E. 4a S. 334). Wie bereits ausgeführt, fehlt es mit Bezug auf das Verhältnis zwischen Darlehenshingabe und Darlehensrückzahlung am gegenseitigen Austauschelement. Hingegen ist mit Bezug auf das Verhältnis zwischen Zinszahlung und Aufrechterhaltung der Wertüberlassung - und diesbezüglich besteht auch in der Lehre Einigkeit (vgl. HIGI, Zürcher Kommentar, 3. Aufl. 2003, N. 6 Vorbem. zu Art. 312-318 OR , N. 75 ff. zu Art. 312 OR , N. 14 zu Art. 313 OR , je m.w.H.) - von einem echten Synallagma auszugehen: Im marktwirtschaftlichen System hat nicht nur ein Sachgut, sondern auch das Gewähren von Kredit einen Marktpreis. Das Geld wird im Übrigen nicht nur wirtschaftlich, sondern auch rechtlich insofern übertragen, als es durch Vermischung ins Eigentum des Darlehensnehmers übergeht ( BGE 78 II 243 E. 5c S. 254; BGE 116 IV 193 E. 4 S. 201), soweit es sich nicht ohnehin um Buchgeld handelt. So oder anders ist der Zins das Entgelt und damit die - bei marktpreisüblichen Zinssätzen gleichwertige - Gegenleistung für das Zurverfügungstellen von Kredit. Dabei ist präzisierend festzuhalten, dass sich das Austauschverhältnis nicht auf die Geldhingabe bei der Gewährung des Darlehens, sondern auf die fortgesetzte Wertgebrauchsüberlassung der Valuta, mithin auf das durative Element bezieht. Das drückt sich in der für die Zinszahlung typischen Periodizität aus (vgl. im Einzelnen E. 6) und folgt wirtschaftlich betrachtet aus dem Umstand, dass der Zins den Ausgleich dafür bildet, dass der Darlehensgeber infolge der Wertübertragung während der Darlehenszeit nicht selbst über BGE 136 III 247 S. 253 das Geld verfügen und damit anderweitig Gewinn erwirtschaften kann.</w:t>
      </w:r>
    </w:p>
    <w:p>
      <w:r>
        <w:rPr>
          <w:b/>
        </w:rPr>
        <w:t>E. 6</w:t>
      </w:r>
    </w:p>
    <w:p>
      <w:r>
        <w:t>Ausgehend von der dargelegten rechtlichen Natur von Zinszahlungen und von ihrer Einordnung im System des Vertragssynallagmas ist deren Anfechtbarkeit zu prüfen, zunächst unter dem Gesichtspunkt der Gläubigerschädigung als objektivem Tatbestandsmerkmal von Art. 288 SchKG . Jedenfalls bei Geschäftskrediten, welche der Verfolgung bzw. überhaupt erst der Ermöglichung gewinnstrebiger Unternehmenstätigkeit dienen, arbeitet der Darlehensnehmer gewissermassen mit dem Geld, indem er dieses produktiv einsetzt; bei der Swissair dienten die Kredite der Finanzierung des Flugbetriebes und der Generierung von Einnahmen aus dem Flug- und flugverwandten Geschäft. Auch wenn der Konzern insgesamt keinen Gewinn mehr erwirtschaftete, blieb die Geschäftstätigkeit gewinnstrebig und stand die damit verbundene Erzielung von Einnahmen weiterhin im Interesse der übrigen Gesellschaftsgläubiger. Es ist auch nicht entscheidend, dass die Zinszahlung, soweit sie postnumerando erfolgt, die Gegenleistung für die Kreditierung während der vorangegangenen Periode ist, besteht doch zwischen der Zahlung von Waren (vgl. BGE 135 III 276 E. 6.3.2 S. 283) und der Zinszahlung in dem Sinn keine Analogie, als der Darlehensvertrag im Unterschied zum Kaufvertrag durativer Natur und die Zinszahlung typischerweise von Periodizität geprägt ist. Der regelmässige Zinsendienst stellt die fortgesetzte Wertüberlassung sicher und insofern besteht wirtschaftlich ein permanenter Ausgleich zwischen Wert und Gegenwert. Anders verhält es sich nur dort, wo erst am Ende der Laufzeit ein Einmalzins zu entrichten ist oder wo längst fällige Zinsen zusammen mit der Rückzahlung des Darlehens geleistet werden; hier dient die Zinsleistung nicht mehr dem weiteren Zurverfügungstellen von Kredit, weshalb sie in diesem speziellen Fall nicht als gleichwertige Gegenleistung für die fortgesetzte Gebrauchsüberlassung betrachtet werden kann und folglich mit Bezug auf das Tatbestandsmerkmal der Gläubigerschädigung das Schicksal der Darlehensrückzahlung teilen muss (vgl. Urteil 5A_116/2009 vom 28. September 2009 E. 5 a.E.). Vor dem Hintergrund der Zwecksetzung der paulianischen Klagen (dazu E. 2) ist schliesslich für den hier zu beurteilenden Fall von entscheidender Bedeutung, dass keine Zinsmachenschaften BGE 136 III 247 S. 254 (beispielsweise vorzeitige oder höhere Zahlungen) vorliegen, welche definitionsgemäss von unlauteren Absichten getragen sind und in der Regel der Begünstigung bestimmter Gläubiger dienen. Vielmehr geht es vorliegend um einen langjährigen Kreditvertrag, bei welchem die Zinsen stets unmittelbar nach dem Fälligkeitsdatum in der von den Parteien vereinbarten Höhe, mithin gewissermassen routinemässig bzw. automatisch beglichen wurden; im Übrigen wurde der Kredit nach der termingerecht erfolgten Zinszahlung, die vorliegend angefochten ist, anstandslos weitergeführt. Das heisst mit anderen Worten, dass der Vertrag von beiden Seiten über alle Jahre hinweg und auch nach der angefochtenen Zahlung stets respektiert worden ist. Bei dieser Ausgangslage ist der Zinsendienst zur gewöhnlichen Geschäftstätigkeit zu zählen, welche dem Schuldner auch in einem schwierigen wirtschaftlichen Umfeld bzw. bei angespannter finanzieller Lage möglich sein muss (vgl. E. 2).</w:t>
      </w:r>
    </w:p>
    <w:p>
      <w:r>
        <w:rPr>
          <w:b/>
        </w:rPr>
        <w:t>E. 7</w:t>
      </w:r>
    </w:p>
    <w:p>
      <w:r>
        <w:t>Das Vorbringen der Beschwerdeführerin, die drohende Kündigung des Darlehens sei keine Gegenleistung für die Zinszahlung, geht am Kern der Sache vorbei, bilden doch Zinszahlungen nach den vorstehenden Erwägungen periodisch die Gegenleistung für die fortgesetzte Kreditierung. Die Kündigung des Darlehens lässt die Darlehensforderung fällig werden und der Gläubiger kann fällige Forderungen in Betreibung setzen. Für den Fall, dass später tatsächlich der Insolvenzfall eintritt, kann die Masse zwar gegebenenfalls versuchen, gewisse vor der Konkurseröffnung übertragene Vermögenswerte der Exekution zuzuführen; dies setzt aber entsprechende prozessuale Anstrengungen voraus und ist nur möglich, wenn alle Merkmale eines Anfechtungstatbestandes gemäss Art. 285 ff. SchKG gegeben sind bzw. bewiesen werden können. Insofern lässt sich entgegen der Beschwerdeführerin nicht sagen, die Situation im Rückforderungsfall unterscheide sich nicht von der Aufrechterhaltung der Kreditierung aufgrund regelmässigen Zinsendienstes. Vor eben diesem Hintergrund der fortgeführten Kreditierung kann auch der handelsgerichtlichen Auffassung nicht gefolgt werden, im Konkursfall würden sich die Zinszahlungen nicht mehr in der Masse befinden und insofern seien die anderen Gläubiger geschädigt. Entscheidend muss vielmehr sein, dass aufgrund der regelmässigen und termingerechten Zinszahlung die Darlehenssumme beim Schuldner belassen worden ist und sich unabhängig von der Verwendung jedenfalls in dem Sinn wertmässig in der Masse wiederfindet, als BGE 136 III 247 S. 255 diese im Umfang des nicht zurückbezahlten Kapitals grösser ist. Vor dem Hintergrund des Zwecks der Anfechtungsklage, die Begünstigung einzelner Gläubiger zu verhindern, wäre nicht einsichtig, weshalb der Gläubiger, der bereits die Darlehensforderung verliert bzw. hierfür nur eine Konkursdividende erhält, auch noch die Zinsen zurückzahlen soll, welche die Gegenleistung für die fortgesetzte Wertgebrauchsüberlassung der Valuta darstellten.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