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168</w:t>
      </w:r>
    </w:p>
    <w:p>
      <w:r>
        <w:t>Bundesgericht (BGE), 2010-01-25, DE</w:t>
      </w:r>
    </w:p>
    <w:p>
      <w:r>
        <w:rPr>
          <w:b/>
        </w:rPr>
        <w:t xml:space="preserve">Quelle: </w:t>
      </w:r>
      <w:r>
        <w:t>https://mcp.opencaselaw.ch/entscheid/bge_BGE_136_III_168</w:t>
      </w:r>
    </w:p>
    <w:p>
      <w:r>
        <w:t>FR: ATF 136 III 168</w:t>
      </w:r>
    </w:p>
    <w:p>
      <w:r>
        <w:t>IT: DTF 136 III 168</w:t>
      </w:r>
    </w:p>
    <w:p>
      <w:pPr>
        <w:pStyle w:val="Heading2"/>
      </w:pPr>
      <w:r>
        <w:t>Regeste</w:t>
      </w:r>
    </w:p>
    <w:p>
      <w:r>
        <w:t>Regeste Art. 30 Abs. 1 und Art. 160 ZGB; Art. 23 Abs. 2 und Art. 37 IPRG; Art. 8 und 14 EMRK; Namensänderung eines Ehegatten. Gesuch einer Doppelbürgerin, welche anstelle des mit der Heirat erworbenen Familiennamens nach den Namensregeln von Sri Lanka einzig den Vornamen des Ehemannes als Nachnamen führen will (E. 3).</w:t>
      </w:r>
    </w:p>
    <w:p>
      <w:r>
        <w:t>Regeste Art. 30 al. 1 et art. 160 CC; art. 23 al. 2 et art. 37 LDIP; art. 8 et 14 CEDH; changement de nom d'un conjoint. Demande d'une citoyenne binationale, qui, en lieu et place du nom de famille acquis par le mariage, souhaite porter uniquement le prénom de son mari comme nom de famille, conformément aux règles du droit sri lankais relatives au nom de famille (consid. 3).</w:t>
      </w:r>
    </w:p>
    <w:p>
      <w:r>
        <w:t>Regesto Art. 30 cpv. 1 e art. 160 CC; art. 23 cpv. 2 e art. 37 LDIP; art. 8 e 14 CEDU; cambiamento del nome di un coniuge. Domanda di una cittadina svizzera con doppia cittadinanza che, invece del cognome coniugale acquisito con il matrimonio, vuole portare unicamente il nome del marito quale cognome, conformemente alle regole sul nome dello Sri Lanka (consid. 3).</w:t>
      </w:r>
    </w:p>
    <w:p>
      <w:pPr>
        <w:pStyle w:val="Heading2"/>
      </w:pPr>
      <w:r>
        <w:t>Erwägungen</w:t>
      </w:r>
    </w:p>
    <w:p>
      <w:r>
        <w:rPr>
          <w:b/>
        </w:rPr>
        <w:t>E. 3</w:t>
      </w:r>
    </w:p>
    <w:p>
      <w:r>
        <w:t>Die Beschwerdeführerin wirft dem Obergericht vor, das Gesuch um Änderung ihres Familiennamens "Ma." in "K." zu Unrecht verweigert zu haben. Sinngemäss macht sie geltend, es liege ein wichtiger Grund zur Namensänderung vor, da sie nicht den Nachnamen des Ehemannes - als Vornamen ihres Schwiegervaters -, sondern nur den Vornamen ihres Ehemannes als Familiennamen tragen wolle, zumal dies den Namensregeln ihres Herkunftslandes Sri Lanka entspreche.</w:t>
      </w:r>
    </w:p>
    <w:p>
      <w:r>
        <w:rPr>
          <w:b/>
        </w:rPr>
        <w:t>E. 3.1</w:t>
      </w:r>
    </w:p>
    <w:p>
      <w:r>
        <w:t>Das Obergericht hat zu Recht ein internationales Verhältnis im Sinne von Art. 1 IPRG (SR 291) angenommen, da die Beschwerdeführerin mehrfache Staatsangehörigkeit besitzt und im Ausland geheiratet hat. Die Beschwerdeführerin lebt seit Jahren in Zürich und hatte zur Zeit der Eheschliessung unbestrittenermassen in der Schweiz Wohnsitz. Damit fällt ausser Betracht, dass sie als schweizerisch-srilankische Doppelbürgerin nach Art. 37 Abs. 2 IPRG verlangen könnte, ihren Namen anlässlich der Eheschliessung dem ausländischen Heimatrecht zu unterstellen ( Art. 23 Abs. 2 IPRG ; BGE 131 III 201 E. 3.1 S. 205); ihr Name untersteht mit Bezug auf die Folge der Eheschliessung nach Art. 37 Abs. 1 IPRG dem schweizerischem Recht. Aus diesem Grund hat die Beschwerdeführerin - wie das Obergericht zu Recht ausgeführt hat und im BGE 136 III 168 S. 170 Zivilstandsregister beurkundet worden ist - mit der Heirat gemäss Art. 160 Abs. 1 ZGB den Namen des Ehegatten erworben. Es ist unbestritten, dass der erworbene Name ("Ma.") der Nachname des Ehemannes ist.</w:t>
      </w:r>
    </w:p>
    <w:p>
      <w:r>
        <w:rPr>
          <w:b/>
        </w:rPr>
        <w:t>E. 3.2</w:t>
      </w:r>
    </w:p>
    <w:p>
      <w:r>
        <w:t>Gemäss Art. 38 Abs. 3 IPRG unterstehen die Voraussetzungen und Wirkungen der Namensänderung dem schweizerischen Recht, nach welchem das Gesuch der Beschwerdeführerin, ihren Namen gestützt auf Art. 30 Abs. 1 ZGB "Ma." in "K." zu ändern, beurteilt worden ist.</w:t>
      </w:r>
    </w:p>
    <w:p>
      <w:r>
        <w:rPr>
          <w:b/>
        </w:rPr>
        <w:t>E. 3.2.1</w:t>
      </w:r>
    </w:p>
    <w:p>
      <w:r>
        <w:t>Zu Recht hat die Vorinstanz angenommen, dass vorliegend die (nachträgliche, bzw. durch Namensänderung zu bewilligende) Option zu Gunsten des Heimatrechts nicht in Frage kommt (E. 3.1). Folglich darf der Beschwerdeführerin eine Namensänderung aus wichtigen Gründen im Sinne von Art. 30 Abs. 1 ZGB - wozu grundsätzlich auch die Vereinheitlichung des Familiennamens im internationalen Verhältnis gehören kann ( BGE 115 II 195 E. 5 S. 198) - nur bewilligt werden, soweit der neue Name Art. 160 oder Art. 30 Abs. 2 ZGB entspricht ( BGE 136 III 161 E. 3.1.2; BRÄM, Zürcher Kommentar, 3. Aufl. 1998, N. 24 zu Art. 160 ZGB ).</w:t>
      </w:r>
    </w:p>
    <w:p>
      <w:r>
        <w:rPr>
          <w:b/>
        </w:rPr>
        <w:t>E. 3.2.2</w:t>
      </w:r>
    </w:p>
    <w:p>
      <w:r>
        <w:t>Vorliegend beantragt die Beschwerdeführerin nicht, den Namen "K." dem Namen des Ehemannes ("Ma.") voranzustellen (vgl. Art. 160 Abs. 2 ZGB ), obwohl dies - vorbehältlich wichtiger Gründe ( Art. 30 Abs. 1 ZGB ) - grundsätzlich möglich wäre, denn der erste Teil des Namens braucht nicht notwendigerweise mit dem Namen übereinzustimmen, den die Frau vor der Ehe führte ( BGE 136 III 161 E. 3.1.2). Ebenso wenig verlangen die Beschwerdeführerin und ihr Ehegatte (mit Vornamen K.), dass "K." als gemeinsamer Familienname der Ehegatten bewilligt werden soll (vgl. Art. 30 Abs. 2 ZGB ). Die Beschwerdeführerin beantragt vielmehr, nur einen Namen ("K.") tragen zu dürfen. Dieser Antrag ist mit den Grundsätzen des geltenden ehelichen Namensrechts jedoch nicht vereinbar, weil dieses keine getrennte Namensführung der Ehegatten kennt, unabhängig davon, ob der gewünschte Name der Ehefrau ihr bisheriger oder ein - wie hier - nach Art. 30 Abs. 1 ZGB zu ändernder Name ist. Vor diesem Hintergrund musste das Obergericht zum Ergebnis gelangen, dass das Namensänderungsgesuch der Beschwerdeführerin nicht bewilligt werden kann.</w:t>
      </w:r>
    </w:p>
    <w:p>
      <w:r>
        <w:rPr>
          <w:b/>
        </w:rPr>
        <w:t>E. 3.3</w:t>
      </w:r>
    </w:p>
    <w:p>
      <w:r>
        <w:t>Es ist anerkannt, dass sich die Regelung gemäss Art. 160 Abs. 1 und Art. 30 Abs. 2 ZGB in ihrer Gesamtheit als verfassungswidrig BGE 136 III 168 S. 171 erweist, indem sie gegen das in Art. 8 Abs. 3 BV verankerte Gebot der Gleichstellung der Geschlechter verstösst ( BGE 126 I 1 E. 2e S. 4; BGE 116 II 657 E. 5 S. 665; BGE 115 II 193 E. 3b S. 197; statt vieler: BÜHLER, in: Basler Kommentar, Zivilgesetzbuch, Bd. I, 3. Aufl. 2006, N. 3 zu Art. 160 ZGB ). Zu prüfen bleibt, ob das vorliegende Ergebnis mit der EMRK vereinbar ist ( Art. 5 Abs. 1 und 4 BV ).</w:t>
      </w:r>
    </w:p>
    <w:p>
      <w:r>
        <w:rPr>
          <w:b/>
        </w:rPr>
        <w:t>E. 3.3.1</w:t>
      </w:r>
    </w:p>
    <w:p>
      <w:r>
        <w:t>Der Europäische Gerichtshof für Menschenrechte hat in seinem Urteil (Nr. 29865/96) Ünal Tekeli gegen Türkei vom 16. November 2004 entschieden, dass die Bestimmungen des türkischen Rechts gegen Art. 14 i.V.m. Art. 8 EMRK verstossen, soweit die Ehefrau den Namen des Mannes als Familiennamen tragen muss, wenn die Eheleute den Frauennamen nicht als gemeinsamen Namen tragen wollen ( Recueil CourEDH 2004-X S. 213 ff., §§ 64 f., 68). Nichts anderes geschieht jedoch bei der Anwendung von Art. 160 und Art. 30 Abs. 2 ZGB . Wenn die Eheleute nicht den Namen der Ehefrau tragen wollen, muss die Frau gemäss Art. 160 ZGB den Namen des Mannes tragen, auch wenn es nicht ihrem Willen entspricht. Daran ändert nichts, dass sie ihren eigenen Namen voranstellen kann. Die eherechtliche Namensregelung des ZGB ist mit der EMRK nicht vereinbar (DESCHENAUX/STEINAUER/BADDELEY, Les effets du mariage, 2. Aufl. 2009, Rz. 127, mit Hinweisen; AEMISEGGER, Zur Umsetzung der EMRK in der Schweiz, Jusletter 20. Juli 2009, Rz. 95, mit Hinweis auf HEGNAUER, Neue Zürcher Zeitung vom 14. April 2009 S. 11; WITTINGER,"Europäisches Familienrecht": Die familienrechtliche Rechtsprechung des Europäischen Gerichtshofs für Menschenrechte in jüngerer Zeit - Altbekanntes und Neues, FamPra.ch 2009 S. 109).</w:t>
      </w:r>
    </w:p>
    <w:p>
      <w:r>
        <w:rPr>
          <w:b/>
        </w:rPr>
        <w:t>E. 3.3.2</w:t>
      </w:r>
    </w:p>
    <w:p>
      <w:r>
        <w:t>Gemäss Art. 190 BV sind für das Bundesgericht sowohl Bundesgesetze als auch Völkerrecht massgebend. Im Konfliktfall geht das Völkerrecht dem Landesrecht jedenfalls dann vor, wenn die völkerrechtliche Norm dem Schutz der Menschenrechte dient . Dies hat zur Folge, dass eine völkerrechtswidrige Norm des Landesrechts insoweit nicht angewendet werden kann ( BGE 125 II 417 E. 4d S. 425 betr. PKK ). Damit stellt sich die Frage, ob die im ZGB festgelegte - gegen die EMRK verstossende - Unmöglichkeit zur getrennten Namensführung der Ehegatten noch massgebend ist (DESCHENAUX/STEINAUER/BADDELEY, a.a.O., Rz. 127 Fn. 97).</w:t>
      </w:r>
    </w:p>
    <w:p>
      <w:r>
        <w:rPr>
          <w:b/>
        </w:rPr>
        <w:t>E. 3.3.3</w:t>
      </w:r>
    </w:p>
    <w:p>
      <w:r>
        <w:t>Für die Beantwortung der Frage sind die jüngsten Beratungen im Parlament zum Problem der Kollision zwischen dem Namensrecht BGE 136 III 168 S. 172 der Ehegatten und der EMRK zu berücksichtigen (vgl.HANGARTNER, in: Die schweizerische Bundesverfassung, Kommentar, 2. Aufl. 2008, N. 30 zu Art. 190 BV ). Am 19. Juni 2003 wurde eine (weitere) parlamentarische Initiative (03.428 Leutenegger Oberholzer) eingereicht, welche verlangt, das ZGB so zu ändern, dass die Gleichstellung der Ehegatten im Bereich der Namens- und Bürgerrechtsregelung gewährleistet ist. Am 22. August 2008 verabschiedete die Rechtskommission des Nationalrates einen entsprechenden Entwurf zur Änderung des Namens- und Bürgerrechts (BBl 2009 403 ff.). Der Nationalrat beschloss jedoch am 11. März 2009 die Rückweisung der Vorlage an die Rechtskommission, "mit dem Auftrag, ausschliesslich die durch das EMRK-Urteil vom 22. Februar 1994 ( Burghartz gegen Schweiz ) absolut notwendigen Schritte vorzuschlagen" (AB 2009 N 275 ff.). Diesem Auftrag ist die Rechtskommission des Nationalrates am 27. August 2009 mit dem Vorschlag nachgekommen, dass die in der Zivilstandsverordnung vom 28. April 2004 (ZStV; SR 211.112.2) festgeschriebene Regelung, wonach dem Ehegatten erlaubt wird, seinen Namen voranzustellen, wenn die Brautleute den Frauennamen als Familiennamen führen wollen (Art. 12 Abs. 1 zweiter Satz ZStV), in das ZGB aufzunehmen sei. Dabei hat sie festgehalten, dass die vorgeschlagene Regelung - auch mit Blick auf das Urteil Tekeli gegen Türkei vom 16. November 2004 - die Gleichstellung nicht gewährleistet (BBl 2009 7573, 7577 f.). Der entsprechende Vorschlag wurde vom Nationalrat am 10. Dezember 2009 angenommen, nachdem das Urteil Tekeli in der Beratung thematisiert und darauf hingewiesen wurde, dass nach diesem Urteil die Schweiz bei einer vergleichbaren Klage vom Europäischen Gerichtshof für Menschenrechte mit grosser Wahrscheinlichkeit verurteilt würde (Votum Bundesrätin Widmer-Schlumpf; AB 2009 N 2284).</w:t>
      </w:r>
    </w:p>
    <w:p>
      <w:r>
        <w:rPr>
          <w:b/>
        </w:rPr>
        <w:t>E. 3.3.4</w:t>
      </w:r>
    </w:p>
    <w:p>
      <w:r>
        <w:t>Die verweigerte Änderung bzw. Anpassung des ehelichen Namensrechts an die EMRK bzw. aktuelle Rechtsprechung des Europäischen Gerichtshofs für Menschenrechte läuft darauf hinaus, dass der schweizerische Gesetzgeber bewusst den Grundsatz der Einheit der Familie und ihres Namens höher gewichtet als den Rechtsgleichheitsgrundsatz, wie ihn der Europäische Gerichtshof versteht. Damit liegt nahe, gemäss BGE 99 Ib 39 ff. i.S. Schubert das Bundesgesetz weiterhin als massgeblich zu erachten (vgl. HANGARTNER, a.a.O., N. 29 ff. und 32 zu Art. 190 BV ), zumal eine Aufhebung der Pflicht zur gemeinsamen Namensführung sinnvollerweise mit der gesetzlichen Gestaltung des Namens der allfälligen gemeinsamen Kinder BGE 136 III 168 S. 173 verbunden wird (DUTOIT, Jusqu'où le délitement du nom de famille? Les exemples suisse et français, in: Festschrift Suzette Sandoz, 2006, S. 247 f.; BÜHLER, a.a.O., N. 30 zu Art. 160 ZGB ). Ob diese Sichtweise - Massgeblichkeit der geltenden ZGB-Bestimmungen - mit der neueren Rechtsprechung vereinbar ist, wonach das Bundesgericht der EMRK den Vorzug gibt, wenn eine Verurteilung durch den Europäischen Gerichtshof für Menschenrechte droht ( BGE 125 II 417 E. 4d S. 425 betr. PKK ; vgl. HANGARTNER, a.a.O., N. 32 zu Art. 190 BV ; AUER/MALINVERNI/HOTTELIER, Droit constitutionnel suisse, 2. Aufl. 2006, Bd. I, Rz. 1882-1884; AEMISEGGER, a.a.O., Rz. 7, 99), braucht im konkreten Fall - wie sich aus dem Folgenden ergibt - nicht abschliessend entschieden zu werden.</w:t>
      </w:r>
    </w:p>
    <w:p>
      <w:r>
        <w:rPr>
          <w:b/>
        </w:rPr>
        <w:t>E. 3.4</w:t>
      </w:r>
    </w:p>
    <w:p>
      <w:r>
        <w:t>Selbst wenn die im ehelichen Namensrecht festgelegte Pflicht der Eheleute zur gemeinsamen Namensführung als unmassgeblich betrachtet wird und insoweit dem Namensänderungsgesuch der Beschwerdeführerin kein Hindernis entgegensteht, ist das Begehren ohne Erfolg. Die Beschwerdeführerin hat bereits im kantonalen Verfahren geltend gemacht, in Sri Lanka mit dem Nachnamen "K." registriert zu sein. Die Tatsache, dass eine in der Schweiz wohnhafte Person mit schweizerischer und ausländischer Staatsangehörigkeit im ausländischen Staat unter einem anderen Namen eingetragen ist, begründet für sich allein keinen wichtigen Grund im Sinne von Art. 30 Abs. 1 ZGB , der eine Namensänderung in der Schweiz rechtfertigt ( BGE 126 III 1 E. 4 und 5 S. 4 f. i.S. Radici ; zuletzt: Urteil 5C.175/2006 vom 22. November 2006 E. 2.2). Diese Rechtsprechung wird in der Lehre bestätigt (SIEHR/GERSTEL, SJZ 97/2001 S. 82), zum Teil auch als zu streng bezeichnet (BUCHER, SZIER 2001 S. 208; VISCHER, in: Zürcher Kommentar zum IPRG, 2. Aufl. 2004, N. 9 zu Art. 38 IPRG ). Im konkreten Fall bestehen keine Anhaltspunkte, welche Anlass geben, diese Praxis in Frage zu stellen. In der Beschwerdeschrift wird weiter nicht dargelegt ( Art. 42 Abs. 2 BGG ), inwiefern das Obergericht weitere Umstände bzw. "wichtige Gründe" zur Namensänderung verkannt habe, welche ein Eingreifen des Bundesgerichts in die Ermessensbetätigung ( Art. 4 ZGB ) der kantonalen Behörden rechtfertigen würden. Im Ergebnis ist daher haltbar, wenn das Obergericht das Gesuch der Beschwerdeführerin, die Änderung ihres Nachnamens in "K." - den Vornamen ihres Ehemannes - zu bewilligen, verweigert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