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279</w:t>
      </w:r>
    </w:p>
    <w:p>
      <w:r>
        <w:t>Bundesgericht (BGE), 2009-04-08, DE</w:t>
      </w:r>
    </w:p>
    <w:p>
      <w:r>
        <w:rPr>
          <w:b/>
        </w:rPr>
        <w:t xml:space="preserve">Quelle: </w:t>
      </w:r>
      <w:r>
        <w:t>https://mcp.opencaselaw.ch/entscheid/bge_BGE_135_V_279</w:t>
      </w:r>
    </w:p>
    <w:p>
      <w:r>
        <w:t>FR: ATF 135 V 279</w:t>
      </w:r>
    </w:p>
    <w:p>
      <w:r>
        <w:t>IT: DTF 135 V 279</w:t>
      </w:r>
    </w:p>
    <w:p>
      <w:pPr>
        <w:pStyle w:val="Heading2"/>
      </w:pPr>
      <w:r>
        <w:t>Regeste</w:t>
      </w:r>
    </w:p>
    <w:p>
      <w:r>
        <w:t>Regeste Art. 9 Abs. 3 und Art. 15 Abs. 1-3 UVG in Verbindung mit Art. 22 ff. UVV; Art. 28 ff. und 34 UVG in Verbindung mit Art. 44 f. UVV; versicherter Verdienst; Hinterlassenenrente. Der einer Hinterlassenenrente zugrunde zu legende versicherte Verdienst basiert auf dem Lohn, welchen die - an den Auswirkungen einer Berufskrankheit - verstorbene pensionierte Person letztmals bezogen hat, als sie noch UVG-versichert war, angepasst an die allgemeine statistische Nominallohnentwicklung im angestammten Tätigkeitsbereich bis zum Zeitpunkt des Eintritts ins AHV-Rentenalter (E. 4). Die derart ermittelte (fiktive) Hinterlassenenrente ist für den Zeitraum zwischen der Pensionierung der verstorbenen Person und der Entstehung des Rentenanspruchs des überlebenden Ehegatten der Teuerung anzupassen (E. 5; nach der Publikation geänderte</w:t>
      </w:r>
    </w:p>
    <w:p>
      <w:r>
        <w:t>Regeste).</w:t>
      </w:r>
    </w:p>
    <w:p>
      <w:r>
        <w:t>Regeste Art. 9 al. 3 et art. 15 al. 1-3 LAA en relation avec les art. 22 ss OLAA; art. 28 ss et 34 LAA en relation avec les art. 44 s. OLAA; gain assuré; rente de survivant. Le gain assuré déterminant pour le montant d'une rente de survivant est calculé en fonction du salaire que le bénéficiaire d'une rente de vieillesse décédé - des suites d'une maladie professionnelle - a perçu en dernier lieu lorsqu'il était assuré conformément à la LAA, puis adapté à l'évolution nominale des salaires dans la branche professionnelle initiale jusqu'à l'âge donnant droit à une rente de vieillesse de l'AVS (consid. 4). La rente (fictive) de survivant ainsi obtenue doit être adaptée au renchérissement pour la période comprise entre la mise à la retraite du défunt et le moment de la naissance du droit à la rente de survivant de l'époux survivant (consid. 5;</w:t>
      </w:r>
    </w:p>
    <w:p>
      <w:r>
        <w:t>regeste modifié après la publication).</w:t>
      </w:r>
    </w:p>
    <w:p>
      <w:r>
        <w:t>Regesto Art. 9 cpv. 3 e art. 15 cpv. 1-3 LAINF in relazione con gli art. 22 segg. OAINF; art. 28 segg.e 34 LAINF in relazione con gli art. 44 seg. OAINF; guadagno assicurato; rendita per superstiti. Il guadagno assicurato determinante per una rendita per superstiti si calcola sulla base dell'ultimo salario realizzato, quando ancora era assicurato contro gli infortuni, dal pensionato deceduto - per gli esiti di una malattia professionale -, dopo adeguamento all'evoluzione statistica dei salari nominali nell'attività abituale fino al raggiungimento dell'età pensionabile AVS (consid. 4). La rendita (fittizia) per superstiti così stabilita va adeguata al rincaro per il periodo compreso tra il pensionamento della persona deceduta e la nascita del diritto alla rendita del coniuge superstite (consid. 5;</w:t>
      </w:r>
    </w:p>
    <w:p>
      <w:r>
        <w:t>regesto modificato dopo la pubblicazione).</w:t>
      </w:r>
    </w:p>
    <w:p>
      <w:pPr>
        <w:pStyle w:val="Heading2"/>
      </w:pPr>
      <w:r>
        <w:t>Erwägungen</w:t>
      </w:r>
    </w:p>
    <w:p>
      <w:r>
        <w:rPr>
          <w:b/>
        </w:rPr>
        <w:t>E. 4.1</w:t>
      </w:r>
    </w:p>
    <w:p>
      <w:r>
        <w:t>Nach Art. 15 UVG (SR 832.20) werden Taggelder und Renten nach dem versicherten Verdienst bemessen (Abs. 1). Als versicherter Verdienst gilt für die Bemessung der Taggelder der letzte vor dem Unfall bezogene Lohn, für die Bemessung der Renten der BGE 135 V 279 S. 282 innerhalb eines Jahres vor dem Unfall bezogene Lohn (Abs. 2). Gemäss Art. 22 Abs. 2 UVV (SR 832.202) gilt als versicherter Verdienst im Allgemeinen, vorbehältlich hier nicht zur Diskussion stehender Ausnahmetatbestände (lit. a-d), der nach der Bundesgesetzgebung über die AHV massgebende Lohn. Als Grundlage für die Bemessung der Renten gilt der innerhalb eines Jahres vor dem Unfall bei einem oder mehreren Arbeitgebern bezogene Lohn, einschliesslich noch nicht ausbezahlter Lohnbestandteile, auf die ein Rechtsanspruch besteht ( Art. 22 Abs. 4 Satz 1 UVV ). Art. 15 Abs. 3 UVG räumt dem Bundesrat die Befugnis ein, Bestimmungen über den versicherten Verdienst in Sonderfällen, wie beispielsweise bei Berufskrankheiten (lit. b), zu erlassen, wovon dieser Gebrauch gemacht hat (vgl. Art. 23 f. UVV). Unter der Marginalie "Massgebender Lohn für das Taggeld in Sonderfällen" sieht Abs. 8 des Art. 23 UVV vor, dass bei Rückfällen der unmittelbar zuvor bezogene Lohn, mindestens aber ein Tagesverdienst von zehn Prozent des Höchstbetrages des versicherten Tagesverdienstes massgebend ist, ausgenommen bei Rentnern der Sozialversicherung. Abs. 2 des Art. 24 UVV ("Massgebender Lohn für Renten") hält sodann fest, dass, falls die Rente mehr als fünf Jahre nach dem Unfall oder dem Ausbruch der Berufskrankheit beginnt, der Lohn massgebend ist, den die versicherte Person ohne den Unfall oder die Berufskrankheit im Jahre vor dem Rentenbeginn bezogen hätte, sofern er höher ist als der letzte vor dem Unfall oder dem Ausbruch der Berufskrankheit erzielte Lohn. Art. 34 Abs. 1 UVG ist schliesslich zu entnehmen, dass die Bezüger von Invaliden- und Hinterlassenenrenten zum Ausgleich der Teuerung Zulagen erhalten, wobei als Grundlage für die Berechnung der Teuerungszulagen jeweils der für den Monat September massgebende Landesindex der Konsumentenpreise gilt ( Art. 44 Abs. 1 UVV ). Für die erstmalige Berechnung der Teuerungszulagen zu einer Rente, die seit dem Inkrafttreten des Gesetzes oder seit der letzten Gewährung einer Teuerungszulage entstanden ist, wird auf den Septemberindex im Unfalljahr und in den Fällen nach Art. 24 Abs. 2 UVV auf jenen im Vorjahr des Rentenbeginns abgestellt ( Art. 44 Abs. 2 UVV ). Beim Wiederaufleben einer Rente sind die Teuerungszulagen gleich hoch, wie wenn die Rente ununterbrochen gewährt worden wäre ( Art. 45 UVV ).</w:t>
      </w:r>
    </w:p>
    <w:p>
      <w:r>
        <w:rPr>
          <w:b/>
        </w:rPr>
        <w:t>E. 4.2.1</w:t>
      </w:r>
    </w:p>
    <w:p>
      <w:r>
        <w:t>Die dargestellten Normen verdeutlichen, dass für die hier zu beurteilende Konstellation - die versicherte Person ist bei Ausbruch BGE 135 V 279 S. 283 der Berufskrankheit infolge Erreichen des AHV-Alters aus dem Erwerbsleben ausgeschieden und daher nicht mehr (weiter-)versichert (sog. Altersrentner) - keine spezifische Lösung vorgesehen ist. Die Konzeption des UVG basiert denn auch auf der Annahme, dass das versicherte Ereignis sich zu einem Zeitpunkt zugetragen hat, in welchem die versicherte Person noch erwerbstätig ist. In Fällen wie dem vorliegenden stellt die Unfallversicherung ausnahmsweise eine Versicherung für Nichterwerbstätige dar, für die in Bezug auf die Rentenbemessung keine einschlägigen Regelungen bestehen (vgl. MAURER, Schweizerisches Unfallversicherungsrecht, 1985, S. 362). Massgebend für die Rentenbemessung ist daher prinzipiell die Grundregel, wonach auf den letzten Lohn vor Eintritt des versicherten Ereignisses, d.h. hier des Ausbruchs der Berufskrankheit (Februar 2005; vgl. Art. 9 Abs. 3 UVG ), abzustellen ist. Da ein solcher im Falle von Altersrentnern gemeinhin nicht vorhanden ist, hat der Verdienst als relevant zu gelten, den die versicherte Person letztmals bezogen hat, als sie noch versichert war (vgl. auch MAURER, a.a.O, S. 220 oben; ders ., Recht und Praxis der Schweizerischen obligatorischen Unfallversicherung, 1963, S. 133).</w:t>
      </w:r>
    </w:p>
    <w:p>
      <w:r>
        <w:rPr>
          <w:b/>
        </w:rPr>
        <w:t>E. 4.2.2</w:t>
      </w:r>
    </w:p>
    <w:p>
      <w:r>
        <w:t>Vor diesem Hintergrund wird letztinstanzlich seitens der Parteien, wie sich deren Ausführungen in der Beschwerdeschrift sowie in den Vernehmlassungen von Beschwerdegegnerin (vom 10. September 2008) und BAG (vom 13. November 2008) entnehmen lässt, zu Recht übereinstimmend nicht mehr beanstandet, dass für die Bemessung des versicherten Verdienstes derjenige Lohn massgebend ist, den H. als (bei der Beschwerdeführerin) versicherter Arbeitnehmer im Jahre 1953 - angepasst an die allgemeine statistische Nominallohnentwicklung im angestammten Tätigkeitsbereich bis zum Zeitpunkt der Pensionierung (31. Januar 1994) - erzielt hatte. Der angefochtene (Rückweisungs-)Entscheid ist somit in diesem Punkt aufzuheben.</w:t>
      </w:r>
    </w:p>
    <w:p>
      <w:r>
        <w:rPr>
          <w:b/>
        </w:rPr>
        <w:t>E. 5</w:t>
      </w:r>
    </w:p>
    <w:p>
      <w:r>
        <w:t>Mit der Begründung, der Umstand, dass der Fall der Pensionierung nicht in den Sonderkatalog (des Art. 24 UVV ) Eingang gefunden habe, rechtfertige die Annahme einer echten Verordnungslücke, welche das Gericht nach jener Regel zu schliessen habe, die es als Verordnungsgeber aufstellen würde, hat die Vorinstanz - in Analogie zu Art. 34 UVG in Verbindung mit Art. 44 UVV - alsdann eine teuerungsbedingte Anpassung des versicherten Verdienstes zwischen der Pensionierung und dem Rentenbeginn bejaht. BGE 135 V 279 S. 284</w:t>
      </w:r>
    </w:p>
    <w:p>
      <w:r>
        <w:rPr>
          <w:b/>
        </w:rPr>
        <w:t>E. 5.1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134 V 182 E. 4.1 S. 185 mit Hinweisen).</w:t>
      </w:r>
    </w:p>
    <w:p>
      <w:r>
        <w:rPr>
          <w:b/>
        </w:rPr>
        <w:t>E. 5.2</w:t>
      </w:r>
    </w:p>
    <w:p>
      <w:r>
        <w:t>Dem kantonalen Gericht ist darin beizupflichten, dass sich aus Wortlaut und Systematik von Gesetz und Verordnung keine eindeutige Antwort auf die streitige Rechtsfrage ergibt, ob der solcherart ermittelte versicherte Verdienst der bis zum Eintritt des versicherten Ereignisses, d.h. vorliegend des Ausbruchs der Berufskrankheit bzw. - hinsichtlich der Hinterlassenenrente - des Todes von H., eingetretenen Nominallohnentwicklung oder Teuerung anzupassen ist. Die hievor zitierten Bestimmungen enthalten in Bezug auf die Festsetzung des versicherten Verdienstes nach Massgabe des tatsächlich zuletzt erworbenen Lohnes im Gegensatz zu anderen Konstellationen kein Korrektiv für diejenigen versicherten Personen, welche bereits altershalber aus dem Erwerbsleben ausgeschieden sind. Namentlich fällt sowohl die analoge Anwendung des Art. 23 Abs. 8 UVV wie auch diejenige von Art. 24 Abs. 2 UVV ausser Betracht, da die erstgenannte Bestimmung die - hier nicht interessierende - Taggeldbemessung beschlägt und Art. 24 Abs. 2 UVV einen Sonderfall darstellt, der nicht gegeben ist. Letzterer Artikel bezweckt einzig, allfällige Nachteile als Folge der Verzögerung in der Rentenfestsetzung auszugleichen ( BGE 127 V 165 E. 3b S. 173; Urteil des Eidg. Versicherungsgerichts U 79/06 vom 19. September 2006 E. 4.2.1 mit Hinweis, in: SZS 2007 S. 179). Mit dieser Sonderregelung, welche im Rahmen der erstmaligen Rentenfestsetzung (nicht aber der revisionsweisen Neufestsetzung der Rente) auch bei Rückfällen (oder Spätfolgen) zum Zuge kommt (Urteile des Eidg. Versicherungsgerichts U 427/99 vom 10. Dezember 2001 E. 3a, nicht publ. in: BGE 127 V 456 , aber in: RKUV 2002 S. 61, und U 286/01 vom 8. März 2002 E. 2b), soll vermieden werden, dass eine versicherte Person mit langdauernder Heilbehandlung, deren Rentenanspruch erst mehr als fünf Jahre nach dem Unfall entsteht, auf dem vor dem Unfall erzielten Lohn haften bleibt, was vor allem dann stossende Ergebnisse zu bewirken vermöchte, wenn die Löhne während dieser Zeit zufolge überdurchschnittlicher Lohnerhöhung BGE 135 V 279 S. 285 stark ansteigen (Urteil des Eidg. Versicherungsgerichts U 427/99 vom 10. Dezember 2001 E. 3a mit Hinweisen, nicht publ. in: BGE 127 V 456 , aber in: RKUV 2002 S. 61). Mit der Aufgabe der entlöhnten Arbeitstätigkeit infolge Alters partizipieren die Altersrentner indessen nicht mehr an der Lohnentwicklung und können damit auch keine Nachteile mit Auswirkung auf den (massgebenden) Lohn auf Grund von Unfall, Berufskrankheit oder deren Behandlung mehr erfahren. Würde für diese Versichertengruppe - mit der Beschwerdegegnerin - die hypothetische Lohnentwicklung über das Rentenalter hinaus berücksichtigt, führte dies zu einer Ungleichbehandlung von Versicherten, die noch vor dem Eintritt des Rentenalters eine Invalidenrente der Unfallversicherung beanspruchen mussten. Denn auch bei ihnen würde mit Blick auf die obgenannten Normen die Rentenberechnungsgrundlage des relevanten Lohnes im Regelfall nicht mehr fortlaufend der Teuerung angepasst, sondern es käme ebenfalls einzig zu einer teuerungsbedingten Angleichung der einmal festgesetzten Rente (vgl. in diesem Sinne auch Art. 22 UVG , welcher generell eine Revision von an Altersrentner ausgerichteten UVG-Renten ausschliesst). Daraus lässt sich für den vorliegend zu beurteilenden Fall mit der Vorinstanz, welche ebenfalls von einer derartigen Lösung abgesehen hat, schliessen, dass eine Anpassung des nach den hievor dargelegten Grundsätzen ermittelten versicherten Verdienstes im Zeitpunkt der Pensionierung an die zwischen 1994 und 2005 eingetretene Nominallohnentwicklung als nicht sachgerecht einzustufen ist. Die grundsätzliche Unabänderlichkeit des versicherten Verdienstes, welche dem Willen des Gesetzgebers entspricht, wonach Veränderungen des von der versicherten Person ohne den Versicherungsfall mutmasslich erzielbaren Jahresverdienstes keinen Einfluss auf die Rente der Unfallversicherung haben sollen ( BGE 127 V 165 E. 3b S. 172; BGE 119 V 484 E. 4b S. 492 mit Hinweis; Urteil des Eidg. Versicherungsgerichts U 286/01 vom 8. März 2002 E. 2b und 3a), hat sodann dazu zu führen, dass auch keine Indexierung des versicherten Verdienstes um die zwischen 1994 und 2005 aufgelaufene Teuerung erfolgen kann. Nach dem klaren Wortlaut des Art. 34 UVG (in Verbindung mit Art. 44 f. UVV) wird einzig die regelmässige Anpassung der Renten, nicht jedoch des dieser zugrunde liegenden versicherten Verdienstes an die Teuerung vorgesehen.</w:t>
      </w:r>
    </w:p>
    <w:p>
      <w:r>
        <w:rPr>
          <w:b/>
        </w:rPr>
        <w:t>E. 5.3.1</w:t>
      </w:r>
    </w:p>
    <w:p>
      <w:r>
        <w:t>Der Umstand, dass die vorliegende Fallkonstellation, in welcher die versicherte Person altershalber aus dem Erwerbsleben BGE 135 V 279 S. 286 ausgeschieden ist, nicht in den - einer gerichtlichen Erweiterung nicht zugänglichen (vgl. Urteil 8C_16/2008 vom 2. September 2008 E. 4.2) - Sonderkatalog gemäss Art. 24 UVV Eingang gefunden hat, bewirkt indessen nach der zutreffenden Feststellung im angefochtenen Entscheid ein sachlich stossendes Ergebnis. Würde auf eine Anpassung der zwischen Pensionierung und Rentenbeginn eingetretenen Teuerung verzichtet, resultierte im Vergleich zu hinterbliebenen Angehörigen einer versicherten Person, bei welchen die Hinterlassenenrente noch während der beruflichen Aktivitätsdauer der (verstorbenen) versicherten Person festgesetzt worden ist, eine nicht zu rechtfertigende Schlechterstellung. Während die Renten bei dieser Kategorie von Hinterbliebenen stetig um die teuerungsbedingte Kaufkraftminderung ausgeglichen würden, könnte die Witwe im hier zu beurteilenden Fall lediglich eine auf der Basis des für das Jahr 1994 ermittelten versicherten Verdienstes bemessene geringere Rente beanspruchen. Für eine derart unterschiedliche Betrachtungsweise bietet die Tatsache, dass die Berufskrankheit, deren Ursache in Form der beruflich bedingten Asbestexposition bereits Jahre zuvor gesetzt worden war, erst einige Zeit nach der Pensionierung ausgebrochen ist, keine stichhaltigen Gründe. Unter Annahme einer richterlich auszufüllenden Rechtslücke hat deshalb für den vorliegenden Sachverhalt des Ausbruchs der Berufskrankheit im Rentenalter eine Anpassung der - hypothetisch für den Moment des Eintritts ins AHV-Alter berechneten, fiktiven - (Hinterlassenen-)Rente an die Teuerung zu erfolgen. Diese Lösung korreliert im Übrigen mit dem in Art. 45 UVV festgehaltenen Grundgedanken, wonach Teuerungszulagen beim Wiederaufleben einer Rente in gleicher Höhe zu gewähren sind, wie wenn die Rente ununterbrochen ausgerichtet worden wäre (siehe beispielsweise den Fall einer Witwe, deren Rente wegen Wiederverheiratung erloschen ist und bei Scheidung der neuen Ehe innert zehn Jahren wieder gewährt wird [ Art. 33 UVG ]).</w:t>
      </w:r>
    </w:p>
    <w:p>
      <w:r>
        <w:rPr>
          <w:b/>
        </w:rPr>
        <w:t>E. 5.3.2</w:t>
      </w:r>
    </w:p>
    <w:p>
      <w:r>
        <w:t>Die seitens der Beschwerdeführerin im Weiteren erhobenen Einwendungen vermögen an diesem Ergebnis nichts zu ändern. Soweit darauf hingewiesen wird, der verstorbene Versicherte H. habe seit seiner Pensionierung auf Dezember 1994 - und damit auch im Jahr vor Ausbruch der Berufskrankheit - auf Grund seines Rentnerstatus über (praktisch) keine wirtschaftliche Leistungsfähigkeit mehr verfügt, deren Ausfluss im Sinne eines Einkommens es teuerungsbedingt anzupassen gegolten hätte, ist dem BGE 135 V 279 S. 287 Unfallversicherer entgegenzuhalten, dass UVG-Renten auch ohne Weiterführung einer Erwerbstätigkeit nach Erreichen des AHV-Rentenalters ausgerichtet werden. In BGE 134 V 392 ist in diesem Sinne entschieden worden, dass der Anspruch auf Invalidenrente einer Person, die während ihrer beruflichen Aktivitätsdauer verunfallt ist, auch noch nach der Pensionierung begründet werden kann. Zwar ereignete sich in diesem Fall der Unfall vor Eintritt des Rentenalters, während vorliegend die Berufskrankheit erst nachher ausbrach. In beiden Fällen war aber die Versicherteneigenschaft vor dem Eintritt ins Rentenalter gegeben und der Rentenanspruch begann erst in einem späteren Zeitpunkt. Der Umstand, dass nach Erreichen des AHV-Rentenalters kein Schaden in Form einer unfall- oder berufskrankheitsbedingten Erwerbseinbusse mehr eintreten konnte, führt somit weder zu einer Verneinung des Invalidenrentenanspruchs an sich, noch - konsequenterweise - der Aufrechnung der aufgelaufenen Teuerung, hier auf der Basis einer für das Jahr 1994 festgesetzten fiktiven Witwenrente bis zum effektiven Beginn des Rentenanspruchs per 1.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