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232</w:t>
      </w:r>
    </w:p>
    <w:p>
      <w:r>
        <w:t>Bundesgericht (BGE), 2009-05-26, DE</w:t>
      </w:r>
    </w:p>
    <w:p>
      <w:r>
        <w:rPr>
          <w:b/>
        </w:rPr>
        <w:t xml:space="preserve">Quelle: </w:t>
      </w:r>
      <w:r>
        <w:t>https://mcp.opencaselaw.ch/entscheid/bge_BGE_135_V_232</w:t>
      </w:r>
    </w:p>
    <w:p>
      <w:r>
        <w:t>FR: ATF 135 V 232</w:t>
      </w:r>
    </w:p>
    <w:p>
      <w:r>
        <w:t>IT: DTF 135 V 232</w:t>
      </w:r>
    </w:p>
    <w:p>
      <w:pPr>
        <w:pStyle w:val="Heading2"/>
      </w:pPr>
      <w:r>
        <w:t>Regeste</w:t>
      </w:r>
    </w:p>
    <w:p>
      <w:r>
        <w:t>Regeste Art. 25a FZG; Art. 73 Abs. 3 BVG; örtliche Zuständigkeit. Nachdem das Scheidungsgericht nach Art. 142 ZGB das Teilungsverhältnis der Austrittsleistungen festgelegt und die Sache an das Berufsvorsorgegericht am Ort der Scheidung überwiesen hat, ist dieses zwingend auch für die vorfrageweise Beurteilung der während der Ehe erfolgten Barauszahlung einer Freizügigkeitsleistung zuständig (E. 2.4).</w:t>
      </w:r>
    </w:p>
    <w:p>
      <w:r>
        <w:t>Regeste Art. 25a LFLP; art. 73 al. 3 LPP; compétence ratione loci. Lorsque le juge du divorce a fixé la proportion dans laquelle les prestations de sortie doivent être partagées selon l'art. 142 CC et a transmis la cause au juge du lieu du divorce compétent en matière de prévoyance professionnelle, celui-ci est impérativement compétent pour trancher la question préalable du versement en espèces d'une prestation de libre passage survenu pendant le mariage (consid. 2.4).</w:t>
      </w:r>
    </w:p>
    <w:p>
      <w:r>
        <w:t>Regesto Art. 25a LFLP; art. 73 cpv. 3 LPP; competenza territoriale. Dopo che il tribunale del divorzio ha fissato le quote di ripartizione delle prestazioni d'uscita conformemente all'art. 142 CC e ha trasmesso la causa al tribunale competente in materia di previdenza professionale del luogo del divorzio, quest'ultimo è imperativamente competente pure per l'esame pregiudiziale del pagamento in contanti di una prestazione di libero passaggio durante il matrimonio (consid. 2.4).</w:t>
      </w:r>
    </w:p>
    <w:p>
      <w:pPr>
        <w:pStyle w:val="Heading2"/>
      </w:pPr>
      <w:r>
        <w:t>Erwägungen</w:t>
      </w:r>
    </w:p>
    <w:p>
      <w:r>
        <w:rPr>
          <w:b/>
        </w:rPr>
        <w:t>E. 1</w:t>
      </w:r>
    </w:p>
    <w:p>
      <w:r>
        <w:t>Umstritten ist einzig die örtliche Zuständigkeit des Gerichts für die Beurteilung des Anspruchs der geschiedenen Ehefrau gegen die BGE 135 V 232 S. 234 Freizügigkeitsstiftung aufgrund der vor der Scheidung erfolgten Barauszahlung eines Freizügigkeitsguthabens an den Ehemann. Die Vorinstanz verneint ihre Zuständigkeit und hält gestützt auf Art. 25a FZG (SR 831.42) das Vorsorgegericht des Scheidungskantons für zuständig. Die Freizügigkeitsstiftung beruft sich hingegen auf Art. 73 Abs. 3 BVG (SR 831.40) und beharrt als Beklagte auf dem Gerichtsstand an ihrem Sitz. Nicht bestritten ist die sachliche Zuständigkeit eines kantonalen Berufsvorsorgegerichts im Sinne von Art. 73 Abs. 1 lit. a BVG .</w:t>
      </w:r>
    </w:p>
    <w:p>
      <w:r>
        <w:rPr>
          <w:b/>
        </w:rPr>
        <w:t>E. 2.1</w:t>
      </w:r>
    </w:p>
    <w:p>
      <w:r>
        <w:t>Kommt über die Teilung der Austrittsleistungen der beruflichen Vorsorge sowie die Art der Durchführung der Teilung keine Vereinbarung zustande, so entscheidet das Scheidungsgericht über das Verhältnis, in welchem die Austrittsleistungen zu teilen sind (Art. 142 Abs. 1 in Verbindung mit Art. 141 Abs. 1 ZGB ). Sobald der Entscheid über das Teilungsverhältnis rechtskräftig ist, überweist das Gericht die Streitsache von Amtes wegen dem nach dem Freizügigkeitsgesetz zuständigen Gericht ( Art. 142 Abs. 2 ZGB ). Können sich die Ehegatten über die bei der Ehescheidung zu übertragende Austrittsleistung ( Art. 122, 123 ZGB ) nicht einigen, so hat das am Ort der Scheidung zuständige Berufsvorsorgegericht gestützt auf den vom Scheidungsgericht bestimmten Teilungsschlüssel die Teilung von Amtes wegen durchzuführen, nachdem ihm die Streitsache überwiesen worden ist ( Art. 25a Abs. 1 FZG ).</w:t>
      </w:r>
    </w:p>
    <w:p>
      <w:r>
        <w:rPr>
          <w:b/>
        </w:rPr>
        <w:t>E. 2.2</w:t>
      </w:r>
    </w:p>
    <w:p>
      <w:r>
        <w:t>Nach seinem Wortlaut regelt Art. 25a FZG nur die örtliche Zuständigkeit für die Teilung der Austrittsleistungen, nicht jedoch für die Beurteilung der erfolgten Barauszahlung. 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 BGE 134 V 170 E. 4.1 S. 174).</w:t>
      </w:r>
    </w:p>
    <w:p>
      <w:r>
        <w:rPr>
          <w:b/>
        </w:rPr>
        <w:t>E. 2.3</w:t>
      </w:r>
    </w:p>
    <w:p>
      <w:r>
        <w:t>An einer (genehmigungsfähigen, vgl. Art. 141 Abs. 1 ZGB ) Vereinbarung fehlt es auch, wenn mindestens ein Ehegatte mit einer beteiligten Vorsorgeeinrichtung über die Existenz einer teilbaren BGE 135 V 232 S. 235 Austrittsleistung oder deren Höhe streitet (Botschaft vom 15. November 1995 über die Änderung des ZGB, BBl 1996 I 111 Ziff. 233.46; HERMANN WALSER, in: Basler Kommentar, Zivilgesetzbuch, Bd. I, 3. Aufl. 2006, N. 7 zu Art. 142 ZGB ; BAUMANN/LAUTERBURG, in: FamKomm, Scheidung, 2005, N. 2 und 4 zu Art. 142 ZGB ; THOMAS GEISER, Berufliche Vorsorge im neuen Scheidungsrecht, in: Vom alten zum neuen Scheidungsrecht, 1999, S. 100 Rz. 2.120). Bei dieser Sachlage erfolgt in Bezug auf die berufliche Vorsorge eine Zweiteilung des Verfahrens gemäss Art. 142 ZGB und Art. 25a FZG : Das Scheidungsgericht setzt den Teilungsschlüssel fest und überweist die Sache an das Berufsvorsorgegericht; dieses nimmt die Teilung vor, indem es die jedem der geschiedenen Ehegatten per Saldo zustehenden Austrittsleistungen gegenüber den beteiligten Vorsorge- und Freizügigkeitseinrichtungen betragsmässig verbindlich festlegt (vgl. WALSER, a.a.O., N. 5 zu Art. 142 ZGB ; GLOOR/UMBRICHT LUKAS, in: Handkommentar zum Schweizer Privatrecht, 2007, N. 6 zu Art. 142 ZGB ). Dadurch wird einerseits der u.a. in Art. 125 Abs. 1 und Abs. 2 Ziff. 8 ZGB festgehaltene Grundsatz der Einheit des Scheidungsurteils (vgl. DANIEL STECK, in: FamKomm, Scheidung, 2005, N. 20 der Vorbemerkungen zu Art. 196-220 ZGB ) durchbrochen; andererseits sind neben den geschiedenen Ehegatten auch alle beteiligten Vorsorge- und Freizügigkeitseinrichtungen in das Teilungsverfahren einzubeziehen ( Art. 142 Abs. 3 Ziff. 3 ZGB und Art. 25a Abs. 2 FZG ). Dass der Gerichtsstand für die Teilung der Austrittsleistungen ebenfalls - und ausschliesslich - im Scheidungskanton liegt ( Art. 25a Abs. 1 FZG ; BBl 1996 I 112 Ziff. 233.46; GEISER, a.a.O., S. 100 Ziff. 2.119), dient daher der Vereinfachung des Verfahrens und, dank der umfassenden Regelung der Rechte und Pflichten aller Beteiligten, der Rechtssicherheit.</w:t>
      </w:r>
    </w:p>
    <w:p>
      <w:r>
        <w:rPr>
          <w:b/>
        </w:rPr>
        <w:t>E. 2.4</w:t>
      </w:r>
    </w:p>
    <w:p>
      <w:r>
        <w:t>Wegen Unzulässigkeit der Barauszahlung einer Freizügigkeitsleistung an eine verheiratete Person kann der geschiedene Ehegatte mit gerichtlich festgestelltem Teilungsanspruch (Art. 141 f. ZGB; vgl. auch Art. 123 Abs. 2 ZGB ; SZS 2004 S. 375, B 90/01 E. 3.2) sowie die Witwe oder der Witwer ( Art. 15 Abs. 1 lit. b FZV [SR 831. 425] in Verbindung mit Art. 19 BVG ; vgl. BGE 130 V 103 ) Schadenersatz geltend machen. Der (noch) verheiratete Ehepartner hingegen kann die Unzulässigkeit der Barauszahlung feststellen lassen ( BGE 128 V 41 E. 3 S. 48 f.). Der Schadenersatzanspruch des geschiedenen Ehegatten ist grundsätzlich auf den vom Scheidungsgericht festgelegten Anteil der nach Art. 22 Abs. 2 FZG zu BGE 135 V 232 S. 236 ermittelnden Austrittsleistung beschränkt (SZS 2007 S. 164, B 126/04 E. 3.2). Bei der Schadensermittlung sind jedoch auch die - aufgrund des familienrechtlichen Teilungsanspruchs - gegenüber weiteren involvierten Vorsorge- oder Freizügigkeitseinrichtungen (vgl. Art. 142 Abs. 3 Ziff. 3 ZGB und Art. 25a Abs. 2 FZG ) bestehenden Anwartschaften von Amtes wegen zu berücksichtigen ( Art. 73 Abs. 2 BVG ). In dieser Situation sind die Ansprüche auf Schadenersatz und Teilung der Austrittsleistungen untrennbar miteinander verwoben. Daher ist das Berufsvorsorgegericht am Ort der Scheidung, nachdem ihm das Scheidungsgericht die Sache überwiesen hat, zwingend auch für die vorfrageweise Beurteilung der während der Ehe erfolgten Barauszahlung einer Freizügigkeitsleistung und eines sich daraus ergebenden Schadenersatzanspruchs zuständig. In der Folge hat es die Höhe der zu berücksichtigenden Austrittsleistungen festzusetzen und die Teilung vorzunehmen.</w:t>
      </w:r>
    </w:p>
    <w:p>
      <w:r>
        <w:rPr>
          <w:b/>
        </w:rPr>
        <w:t>E. 2.5</w:t>
      </w:r>
    </w:p>
    <w:p>
      <w:r>
        <w:t>Dass einer Vorsorgeeinrichtung durch den Gerichtsstand am Ort der Scheidung insbesondere in Bezug auf die Verfahrenssprache zusätzliche Umtriebe und Kosten entstehen können, ist hinzunehmen (vgl. GEISER, a.a.O., S. 100 Ziff. 2.119), weil nach dem Gesagten (E. 2.3 und 2.4) die Vorteile einer einheitlichen örtlichen Zuständigkeit überwiegen. Ebenso ändert nichts daran, dass im konkreten Fall keine Gefahr eines Kompetenzkonfliktes bestand und ein Wechsel der Zuständigkeit wegen des bereits durchgeführten Schriftenwechsels nicht ökonomisch ist: Jenes wurde nur durch - zusätzlichen Aufwand verursachende - direkte Absprachen unter den in Frage kommenden Gerichten erreicht; dieses wird künftig -nach Klärung der Rechtslage - vermeidbar. Für die Beurteilung der während der Ehe erfolgten Barauszahlung der Freizügigkeitsleistung ist das Versicherungsgericht des Kantons St. Gallen somit zuständig; die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