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261</w:t>
      </w:r>
    </w:p>
    <w:p>
      <w:r>
        <w:t>Bundesgericht (BGE), 2009-03-16, DE</w:t>
      </w:r>
    </w:p>
    <w:p>
      <w:r>
        <w:rPr>
          <w:b/>
        </w:rPr>
        <w:t xml:space="preserve">Quelle: </w:t>
      </w:r>
      <w:r>
        <w:t>https://mcp.opencaselaw.ch/entscheid/bge_BGE_135_I_261</w:t>
      </w:r>
    </w:p>
    <w:p>
      <w:r>
        <w:t>FR: ATF 135 I 261</w:t>
      </w:r>
    </w:p>
    <w:p>
      <w:r>
        <w:t>IT: DTF 135 I 261</w:t>
      </w:r>
    </w:p>
    <w:p>
      <w:pPr>
        <w:pStyle w:val="Heading2"/>
      </w:pPr>
      <w:r>
        <w:t>Regeste</w:t>
      </w:r>
    </w:p>
    <w:p>
      <w:r>
        <w:t>Regeste Art. 80 Abs. 1 und Art. 93 Abs. 1 lit. a BGG. Beschwerden gegen verfahrensleitende Verfügungen des Strafkammerpräsidiums des Bundesstrafgerichtes sind unter den Voraussetzungen von Art. 92-94 BGG zulässig. Im vorliegenden Fall wurde ein privater Wahlverteidiger wegen Interessenkollisionen nicht zugelassen; Bejahung eines drohenden nicht wieder gutzumachenden Nachteils im Sinne von Art. 93 Abs. 1 lit. a BGG (E. 1.1-1.4).</w:t>
      </w:r>
    </w:p>
    <w:p>
      <w:r>
        <w:t>Regeste Art. 80 al. 1 et art. 93 al. 1 let. a LTF. Les recours contre des décisions relatives à la conduite de la procédure prises par le Président de la Cour des affaires pénales du Tribunal pénal fédéral sont recevables aux conditions posées aux art. 92-94 LTF. Dans le cas d'espèce, portant sur le refus d'autoriser un défenseur de choix à procéder en raison de conflits d'intérêts, l'existence d'un préjudice irréparable et imminent au sens de l'art. 93 al. 1 let. a LTF a été admise (consid. 1.1-1.4).</w:t>
      </w:r>
    </w:p>
    <w:p>
      <w:r>
        <w:t>Regesto Art. 80 cpv. 1 e art. 93 cpv. 1 lett. a LTF. I ricorsi contro le disposizioni preparatorie del dibattimento del presidente della Corte penale del Tribunale penale federale sono ammissibili alle condizioni previste dagli art. 92-94 LTF. Nella fattispecie, concernente il rifiuto di autorizzare la designazione di un difensore di fiducia a causa di conflitti d'interesse, è stata ammessa l'esistenza di un pregiudizio irreparabile e imminente secondo l'art. 93 cpv. 1 lett. a LTF (consid. 1.1-1.4).</w:t>
      </w:r>
    </w:p>
    <w:p>
      <w:pPr>
        <w:pStyle w:val="Heading2"/>
      </w:pPr>
      <w:r>
        <w:t>Erwägungen</w:t>
      </w:r>
    </w:p>
    <w:p>
      <w:r>
        <w:rPr>
          <w:b/>
        </w:rPr>
        <w:t>E. 1</w:t>
      </w:r>
    </w:p>
    <w:p>
      <w:r>
        <w:t>Strafprozessuale Zwischenentscheide der Strafkammer des Bundesstrafgerichts sind (unter den Voraussetzungen von Art. 92-94 BGG ) grundsätzlich anfechtbar ( Art. 80 Abs. 1 BGG ). Dies gilt grundsätzlich auch für verfahrensleitende Entscheide des Präsidenten der Strafkammer (vgl. BGE 134 IV 237 ). Im Gegensatz zu Art. 79 BGG (Entscheide der Beschwerdekammer) beschränkt das Gesetz die Anfechtbarkeit nicht auf Zwangsmassnahmenentscheide der Strafkammer. BGE 135 I 261 S. 263</w:t>
      </w:r>
    </w:p>
    <w:p>
      <w:r>
        <w:rPr>
          <w:b/>
        </w:rPr>
        <w:t>E. 1.1</w:t>
      </w:r>
    </w:p>
    <w:p>
      <w:r>
        <w:t>Zu prüfen ist, ob die Eintretensvoraussetzungen von Art. 93 Abs. 1 lit. a BGG erfüllt sind:</w:t>
      </w:r>
    </w:p>
    <w:p>
      <w:r>
        <w:rPr>
          <w:b/>
        </w:rPr>
        <w:t>E. 1.2</w:t>
      </w:r>
    </w:p>
    <w:p>
      <w:r>
        <w:t>Als oberste rechtsprechende Behörde des Bundes soll sich das Bundesgericht in der Regel nur einmal mit der gleichen Streitsache befassen müssen. Nach ständiger Praxis zu Art. 93 Abs. 1 lit. a BGG (und schon zum altrechtlichen Art. 87 Abs. 2 OG ) ist ein Vor- oder Zwischenentscheid daher nur ausnahmsweise anfechtbar, sofern ein konkreter rechtlicher Nachteil droht, der auch durch einen (für die rechtsuchende Partei günstigen) Endentscheid nachträglich nicht mehr behoben werden könnte ( BGE 134 I 83 E. 3.1 S. 86 f.; BGE 134 IV 43 E. 2.1 S. 45; BGE 133 IV 139 E. 4 S. 141, BGE 133 IV 288 E. 3.1 S. 291, 335 E. 4 S. 338; je mit Hinweisen). Der blosse Umstand, dass es sich beim Offizialverteidiger nicht um den Wunsch- bzw. Vertrauensanwalt des Angeschuldigten handelt, schliesst eine wirksame und ausreichende Verteidigung nicht aus. Die Ablehnung eines Gesuches des Angeschuldigten um Auswechslung des Offizialverteidigers begründet daher grundsätzlich keinen nicht wieder gutzumachenden Rechtsnachteil im Sinne des Gesetzes ( BGE 126 I 207 E. 2b S. 211). Anders kann der Fall liegen, wenn der amtliche Verteidiger seine Pflichten erheblich vernachlässigt (vgl. BGE 120 Ia 48 E. 2 S. 50 ff.) oder wenn die Strafjustizbehörden gegen den Willen des Angeschuldigten und seines Offizialverteidigers dessen Abberufung anordnen ( BGE 133 IV 335 E. 4 S. 339).</w:t>
      </w:r>
    </w:p>
    <w:p>
      <w:r>
        <w:rPr>
          <w:b/>
        </w:rPr>
        <w:t>E. 1.3</w:t>
      </w:r>
    </w:p>
    <w:p>
      <w:r>
        <w:t>Die Beschwerdeführer sehen einen Nachteil im Sinne von Art. 93 Abs. 1 lit. a BGG darin, dass Y. im hängigen Gerichtsverfahren nicht vom Anwalt seines Vertrauens verteidigt werde. Der Nachteil könne innert nützlicher Frist nicht behoben werden, da eine rückwirkende Korrektur nicht möglich wäre. Dies gelte auch im Hinblick auf eine allfällige neue Prüfung der prozessualen Rügen durch die Strafkammer des Bundesstrafgerichts.</w:t>
      </w:r>
    </w:p>
    <w:p>
      <w:r>
        <w:rPr>
          <w:b/>
        </w:rPr>
        <w:t>E. 1.4</w:t>
      </w:r>
    </w:p>
    <w:p>
      <w:r>
        <w:t>Die Beschwerdeführer verlangen die forensische Zulassung von Rechtsanwalt X. als privater Wahlverteidiger im hängigen Gerichtsverfahren. Y. wird seit dem 1. September 2004 durch seinen amtlichen Verteidiger A. vertreten. Die Beschwerdeführer beantragen keine Abberufung des Offizialverteidigers (und keine Einsetzung von X. als neuer Offizialverteidiger). Ebenso wenig wird in der Beschwerdeschrift geltend gemacht, dass der amtliche Verteidiger seine Pflichten vernachlässigt hätte. Allerdings könnte durch die Nichtzulassung von X. als erbetener Verteidiger bewirkt werden, dass dem BGE 135 I 261 S. 264 Y. eine (ausschliessliche) Offizialverteidigung faktisch aufgedrängt bzw. die (zusätzliche) Interessenvertretung durch den gewünschten Privatverteidiger verunmöglicht würde. Dies könnte gegebenenfalls im Widerspruch stehen zum Anspruch des Angeklagten auf erbetene (privat finanzierte) Verteidigung durch den Anwalt seiner Wahl (vgl. Art. 6 Ziff. 3 lit. c EMRK ; Art. 14 Abs. 3 lit. d UNO-Pakt II [SR 0.103.2]; Art. 32 Abs. 2 Satz BV). Insofern kann hier ein drohender Nachteil im Sinne von Art. 93 Abs. 1 lit. a BGG bejaht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